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黑体" w:hAnsi="黑体" w:eastAsia="黑体"/>
          <w:sz w:val="32"/>
          <w:szCs w:val="32"/>
          <w:lang w:val="en-US" w:eastAsia="zh-CN"/>
        </w:rPr>
      </w:pPr>
      <w:r>
        <w:rPr>
          <w:rFonts w:hint="eastAsia" w:ascii="黑体" w:hAnsi="黑体" w:eastAsia="黑体"/>
          <w:sz w:val="32"/>
          <w:szCs w:val="32"/>
        </w:rPr>
        <w:t>上海医药集团青岛国风药业</w:t>
      </w:r>
      <w:r>
        <w:rPr>
          <w:rFonts w:hint="eastAsia" w:ascii="黑体" w:hAnsi="黑体" w:eastAsia="黑体"/>
          <w:sz w:val="32"/>
          <w:szCs w:val="32"/>
          <w:lang w:val="en-US" w:eastAsia="zh-CN"/>
        </w:rPr>
        <w:t>股份有限公司</w:t>
      </w:r>
    </w:p>
    <w:p>
      <w:pPr>
        <w:snapToGrid w:val="0"/>
        <w:jc w:val="center"/>
        <w:rPr>
          <w:rFonts w:hint="eastAsia" w:ascii="宋体" w:hAnsi="宋体"/>
          <w:b/>
          <w:bCs/>
          <w:spacing w:val="18"/>
          <w:sz w:val="36"/>
          <w:szCs w:val="36"/>
        </w:rPr>
      </w:pPr>
      <w:r>
        <w:rPr>
          <w:rFonts w:hint="eastAsia" w:ascii="黑体" w:hAnsi="黑体" w:eastAsia="黑体" w:cs="黑体"/>
          <w:sz w:val="32"/>
          <w:szCs w:val="32"/>
          <w:lang w:val="en-US" w:eastAsia="zh-CN"/>
        </w:rPr>
        <w:t>直筒提取罐、挥发油提取罐、醇沉罐设备</w:t>
      </w:r>
      <w:r>
        <w:rPr>
          <w:rFonts w:hint="eastAsia" w:ascii="黑体" w:hAnsi="黑体" w:eastAsia="黑体"/>
          <w:sz w:val="32"/>
          <w:szCs w:val="32"/>
        </w:rPr>
        <w:t>招标公告</w:t>
      </w:r>
    </w:p>
    <w:p>
      <w:pPr>
        <w:spacing w:line="360" w:lineRule="auto"/>
        <w:rPr>
          <w:rFonts w:hint="default" w:ascii="宋体" w:hAnsi="宋体"/>
          <w:sz w:val="28"/>
          <w:szCs w:val="28"/>
          <w:lang w:val="en-US" w:eastAsia="zh-CN"/>
        </w:rPr>
      </w:pPr>
      <w:r>
        <w:rPr>
          <w:rFonts w:hint="eastAsia" w:ascii="宋体" w:hAnsi="宋体"/>
          <w:spacing w:val="18"/>
          <w:sz w:val="28"/>
          <w:szCs w:val="28"/>
        </w:rPr>
        <w:t>招标名称：</w:t>
      </w:r>
      <w:r>
        <w:rPr>
          <w:rFonts w:hint="eastAsia" w:ascii="宋体" w:hAnsi="宋体"/>
          <w:sz w:val="28"/>
          <w:szCs w:val="28"/>
          <w:lang w:val="en-US" w:eastAsia="zh-CN"/>
        </w:rPr>
        <w:t>直筒提取罐、挥发油提取罐、醇沉罐招标</w:t>
      </w:r>
    </w:p>
    <w:p>
      <w:pPr>
        <w:spacing w:line="360" w:lineRule="auto"/>
        <w:rPr>
          <w:rFonts w:ascii="宋体" w:hAnsi="宋体"/>
          <w:spacing w:val="18"/>
          <w:sz w:val="28"/>
          <w:szCs w:val="28"/>
        </w:rPr>
      </w:pPr>
      <w:r>
        <w:rPr>
          <w:rFonts w:hint="eastAsia" w:ascii="宋体" w:hAnsi="宋体"/>
          <w:spacing w:val="18"/>
          <w:sz w:val="28"/>
          <w:szCs w:val="28"/>
        </w:rPr>
        <w:t>招标单位：上海医药集团青岛国风药业股份有限公司</w:t>
      </w:r>
    </w:p>
    <w:p>
      <w:pPr>
        <w:numPr>
          <w:ilvl w:val="0"/>
          <w:numId w:val="2"/>
        </w:numPr>
        <w:spacing w:line="360" w:lineRule="auto"/>
        <w:rPr>
          <w:rFonts w:hint="eastAsia" w:ascii="宋体" w:hAnsi="宋体"/>
          <w:spacing w:val="18"/>
          <w:sz w:val="28"/>
          <w:szCs w:val="28"/>
        </w:rPr>
      </w:pPr>
      <w:r>
        <w:rPr>
          <w:rFonts w:hint="eastAsia" w:ascii="宋体" w:hAnsi="宋体"/>
          <w:spacing w:val="18"/>
          <w:sz w:val="28"/>
          <w:szCs w:val="28"/>
        </w:rPr>
        <w:t>投标须知</w:t>
      </w:r>
    </w:p>
    <w:p>
      <w:pPr>
        <w:spacing w:line="360" w:lineRule="auto"/>
        <w:rPr>
          <w:rFonts w:hint="eastAsia" w:ascii="宋体" w:hAnsi="宋体"/>
          <w:spacing w:val="18"/>
          <w:sz w:val="28"/>
          <w:szCs w:val="28"/>
        </w:rPr>
      </w:pPr>
      <w:r>
        <w:rPr>
          <w:rFonts w:hint="eastAsia" w:ascii="宋体" w:hAnsi="宋体"/>
          <w:spacing w:val="18"/>
          <w:sz w:val="28"/>
          <w:szCs w:val="28"/>
        </w:rPr>
        <w:t xml:space="preserve">    </w:t>
      </w:r>
      <w:r>
        <w:rPr>
          <w:rFonts w:ascii="宋体" w:hAnsi="宋体"/>
          <w:spacing w:val="18"/>
          <w:sz w:val="28"/>
          <w:szCs w:val="28"/>
        </w:rPr>
        <w:t xml:space="preserve"> </w:t>
      </w:r>
      <w:r>
        <w:rPr>
          <w:rFonts w:hint="eastAsia" w:ascii="宋体" w:hAnsi="宋体"/>
          <w:spacing w:val="18"/>
          <w:sz w:val="28"/>
          <w:szCs w:val="28"/>
        </w:rPr>
        <w:t>1、在工商行政管理部门登记注册的并具有独立法人资格的企业,承认和履行招标文件及招标办法规定。</w:t>
      </w:r>
    </w:p>
    <w:p>
      <w:pPr>
        <w:spacing w:line="360" w:lineRule="auto"/>
        <w:rPr>
          <w:rFonts w:hint="eastAsia" w:ascii="宋体" w:hAnsi="宋体"/>
          <w:sz w:val="28"/>
          <w:szCs w:val="28"/>
          <w:highlight w:val="none"/>
        </w:rPr>
      </w:pPr>
      <w:r>
        <w:rPr>
          <w:rFonts w:hint="eastAsia" w:ascii="宋体" w:hAnsi="宋体"/>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 xml:space="preserve"> </w:t>
      </w:r>
      <w:r>
        <w:rPr>
          <w:rFonts w:ascii="宋体" w:hAnsi="宋体"/>
          <w:sz w:val="28"/>
          <w:szCs w:val="28"/>
          <w:highlight w:val="none"/>
        </w:rPr>
        <w:t>2</w:t>
      </w:r>
      <w:r>
        <w:rPr>
          <w:rFonts w:hint="eastAsia" w:ascii="宋体" w:hAnsi="宋体"/>
          <w:sz w:val="28"/>
          <w:szCs w:val="28"/>
          <w:highlight w:val="none"/>
        </w:rPr>
        <w:t>、</w:t>
      </w:r>
      <w:r>
        <w:rPr>
          <w:rFonts w:hint="eastAsia" w:ascii="宋体" w:hAnsi="宋体"/>
          <w:sz w:val="28"/>
          <w:szCs w:val="28"/>
          <w:highlight w:val="none"/>
          <w:lang w:eastAsia="zh-CN"/>
        </w:rPr>
        <w:t>若是生产企业投标，</w:t>
      </w:r>
      <w:r>
        <w:rPr>
          <w:rFonts w:hint="eastAsia" w:ascii="宋体" w:hAnsi="宋体"/>
          <w:sz w:val="28"/>
          <w:szCs w:val="28"/>
          <w:highlight w:val="none"/>
        </w:rPr>
        <w:t>生产经营范围</w:t>
      </w:r>
      <w:r>
        <w:rPr>
          <w:rFonts w:hint="eastAsia" w:ascii="宋体" w:hAnsi="宋体"/>
          <w:sz w:val="28"/>
          <w:szCs w:val="28"/>
          <w:highlight w:val="none"/>
          <w:lang w:eastAsia="zh-CN"/>
        </w:rPr>
        <w:t>需</w:t>
      </w:r>
      <w:r>
        <w:rPr>
          <w:rFonts w:hint="eastAsia" w:ascii="宋体" w:hAnsi="宋体"/>
          <w:sz w:val="28"/>
          <w:szCs w:val="28"/>
          <w:highlight w:val="none"/>
        </w:rPr>
        <w:t>包含本次招标设备的制造和安装</w:t>
      </w:r>
      <w:r>
        <w:rPr>
          <w:rFonts w:hint="eastAsia" w:ascii="宋体" w:hAnsi="宋体"/>
          <w:sz w:val="28"/>
          <w:szCs w:val="28"/>
          <w:highlight w:val="none"/>
          <w:lang w:eastAsia="zh-CN"/>
        </w:rPr>
        <w:t>；若为代理商投标，则需提供生产厂家的唯一授权承诺书。</w:t>
      </w:r>
    </w:p>
    <w:p>
      <w:pPr>
        <w:tabs>
          <w:tab w:val="left" w:pos="819"/>
        </w:tabs>
        <w:spacing w:line="360" w:lineRule="auto"/>
        <w:rPr>
          <w:rFonts w:hint="default" w:ascii="宋体" w:hAnsi="宋体" w:eastAsia="宋体"/>
          <w:sz w:val="28"/>
          <w:szCs w:val="28"/>
          <w:highlight w:val="yellow"/>
          <w:lang w:val="en-US" w:eastAsia="zh-CN"/>
        </w:rPr>
      </w:pPr>
      <w:r>
        <w:rPr>
          <w:rFonts w:hint="eastAsia" w:ascii="宋体" w:hAnsi="宋体"/>
          <w:sz w:val="28"/>
          <w:szCs w:val="28"/>
          <w:lang w:val="en-US" w:eastAsia="zh-CN"/>
        </w:rPr>
        <w:t xml:space="preserve"> </w:t>
      </w:r>
      <w:r>
        <w:rPr>
          <w:rFonts w:hint="eastAsia" w:ascii="宋体" w:hAnsi="宋体"/>
          <w:sz w:val="28"/>
          <w:szCs w:val="28"/>
          <w:highlight w:val="none"/>
          <w:lang w:val="en-US" w:eastAsia="zh-CN"/>
        </w:rPr>
        <w:tab/>
      </w:r>
      <w:r>
        <w:rPr>
          <w:rFonts w:hint="eastAsia" w:ascii="宋体" w:hAnsi="宋体"/>
          <w:sz w:val="28"/>
          <w:szCs w:val="28"/>
          <w:highlight w:val="none"/>
          <w:lang w:val="en-US" w:eastAsia="zh-CN"/>
        </w:rPr>
        <w:t>3、投标单位必须具有安全生产许可证、特种设备生产许可证。</w:t>
      </w:r>
    </w:p>
    <w:p>
      <w:pPr>
        <w:spacing w:line="360" w:lineRule="auto"/>
        <w:ind w:firstLine="840" w:firstLineChars="3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、投标文件中的投标价应是包括</w:t>
      </w:r>
      <w:r>
        <w:rPr>
          <w:rFonts w:hint="eastAsia" w:ascii="宋体" w:hAnsi="宋体"/>
          <w:sz w:val="28"/>
          <w:szCs w:val="28"/>
          <w:lang w:val="en-US" w:eastAsia="zh-CN"/>
        </w:rPr>
        <w:t>旧设备拆除、新</w:t>
      </w:r>
      <w:r>
        <w:rPr>
          <w:rFonts w:hint="eastAsia" w:ascii="宋体" w:hAnsi="宋体"/>
          <w:sz w:val="28"/>
          <w:szCs w:val="28"/>
        </w:rPr>
        <w:t>设备的运输、卸货及安装调试等各种费用的综合单价及总价。</w:t>
      </w:r>
    </w:p>
    <w:p>
      <w:pPr>
        <w:spacing w:line="360" w:lineRule="auto"/>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hint="eastAsia" w:ascii="宋体" w:hAnsi="宋体"/>
          <w:sz w:val="28"/>
          <w:szCs w:val="28"/>
          <w:lang w:val="en-US" w:eastAsia="zh-CN"/>
        </w:rPr>
        <w:t>5</w:t>
      </w:r>
      <w:r>
        <w:rPr>
          <w:rFonts w:hint="eastAsia" w:ascii="宋体" w:hAnsi="宋体"/>
          <w:sz w:val="28"/>
          <w:szCs w:val="28"/>
        </w:rPr>
        <w:t>、投标单位必须遵纪守法，严禁不正之风，不得哄抬标价，否则取消其投标资格。</w:t>
      </w:r>
    </w:p>
    <w:p>
      <w:pPr>
        <w:spacing w:line="360" w:lineRule="auto"/>
        <w:ind w:firstLine="795"/>
        <w:rPr>
          <w:rFonts w:hint="eastAsia" w:ascii="宋体" w:hAnsi="宋体"/>
          <w:spacing w:val="18"/>
          <w:sz w:val="28"/>
          <w:szCs w:val="28"/>
        </w:rPr>
      </w:pPr>
      <w:r>
        <w:rPr>
          <w:rFonts w:hint="eastAsia" w:ascii="宋体" w:hAnsi="宋体"/>
          <w:spacing w:val="18"/>
          <w:sz w:val="28"/>
          <w:szCs w:val="28"/>
          <w:lang w:val="en-US" w:eastAsia="zh-CN"/>
        </w:rPr>
        <w:t>6</w:t>
      </w:r>
      <w:r>
        <w:rPr>
          <w:rFonts w:hint="eastAsia" w:ascii="宋体" w:hAnsi="宋体"/>
          <w:spacing w:val="18"/>
          <w:sz w:val="28"/>
          <w:szCs w:val="28"/>
        </w:rPr>
        <w:t>、投标单位中标后不得以任何形式和理由转包。</w:t>
      </w:r>
    </w:p>
    <w:p>
      <w:pPr>
        <w:spacing w:line="360" w:lineRule="auto"/>
        <w:ind w:firstLine="795"/>
        <w:rPr>
          <w:rFonts w:hint="eastAsia" w:ascii="宋体" w:hAnsi="宋体"/>
          <w:spacing w:val="18"/>
          <w:sz w:val="28"/>
          <w:szCs w:val="28"/>
        </w:rPr>
      </w:pPr>
      <w:r>
        <w:rPr>
          <w:rFonts w:hint="eastAsia" w:ascii="宋体" w:hAnsi="宋体"/>
          <w:spacing w:val="18"/>
          <w:sz w:val="28"/>
          <w:szCs w:val="28"/>
          <w:lang w:val="en-US" w:eastAsia="zh-CN"/>
        </w:rPr>
        <w:t>7</w:t>
      </w:r>
      <w:r>
        <w:rPr>
          <w:rFonts w:hint="eastAsia" w:ascii="宋体" w:hAnsi="宋体"/>
          <w:spacing w:val="18"/>
          <w:sz w:val="28"/>
          <w:szCs w:val="28"/>
        </w:rPr>
        <w:t>、商务标与技术标分离，分别放在两个密封档案袋中，在每个密封袋的开启处需盖章。</w:t>
      </w:r>
    </w:p>
    <w:p>
      <w:pPr>
        <w:spacing w:line="360" w:lineRule="auto"/>
        <w:ind w:firstLine="795"/>
        <w:rPr>
          <w:rFonts w:hint="eastAsia" w:ascii="宋体" w:hAnsi="宋体"/>
          <w:spacing w:val="18"/>
          <w:sz w:val="28"/>
          <w:szCs w:val="28"/>
        </w:rPr>
      </w:pPr>
      <w:r>
        <w:rPr>
          <w:rFonts w:hint="eastAsia" w:ascii="宋体" w:hAnsi="宋体"/>
          <w:spacing w:val="18"/>
          <w:sz w:val="28"/>
          <w:szCs w:val="28"/>
          <w:lang w:val="en-US" w:eastAsia="zh-CN"/>
        </w:rPr>
        <w:t>8</w:t>
      </w:r>
      <w:r>
        <w:rPr>
          <w:rFonts w:hint="eastAsia" w:ascii="宋体" w:hAnsi="宋体"/>
          <w:spacing w:val="18"/>
          <w:sz w:val="28"/>
          <w:szCs w:val="28"/>
        </w:rPr>
        <w:t>、在邮寄档案封面上必须写明联系方式。</w:t>
      </w:r>
    </w:p>
    <w:p>
      <w:pPr>
        <w:spacing w:line="360" w:lineRule="auto"/>
        <w:ind w:firstLine="795"/>
        <w:rPr>
          <w:rFonts w:hint="eastAsia" w:ascii="宋体" w:hAnsi="宋体"/>
          <w:spacing w:val="18"/>
          <w:sz w:val="28"/>
          <w:szCs w:val="28"/>
        </w:rPr>
      </w:pPr>
      <w:r>
        <w:rPr>
          <w:rFonts w:hint="eastAsia" w:ascii="宋体" w:hAnsi="宋体"/>
          <w:spacing w:val="18"/>
          <w:sz w:val="28"/>
          <w:szCs w:val="28"/>
          <w:lang w:val="en-US" w:eastAsia="zh-CN"/>
        </w:rPr>
        <w:t>9</w:t>
      </w:r>
      <w:r>
        <w:rPr>
          <w:rFonts w:hint="eastAsia" w:ascii="宋体" w:hAnsi="宋体"/>
          <w:spacing w:val="18"/>
          <w:sz w:val="28"/>
          <w:szCs w:val="28"/>
        </w:rPr>
        <w:t>、投标截止后我公司将会先开技术标，对确定符合我公司技术要求的投标单位我公司将会电话通知开标时间，在开标现场由投标单位自行打开商务标。</w:t>
      </w:r>
    </w:p>
    <w:p>
      <w:pPr>
        <w:spacing w:line="360" w:lineRule="auto"/>
        <w:ind w:firstLine="795"/>
        <w:rPr>
          <w:rFonts w:hint="eastAsia" w:ascii="宋体" w:hAnsi="宋体"/>
          <w:spacing w:val="18"/>
          <w:sz w:val="28"/>
          <w:szCs w:val="28"/>
          <w:lang w:eastAsia="zh-CN"/>
        </w:rPr>
      </w:pPr>
      <w:r>
        <w:rPr>
          <w:rFonts w:hint="eastAsia" w:ascii="宋体" w:hAnsi="宋体"/>
          <w:spacing w:val="18"/>
          <w:sz w:val="28"/>
          <w:szCs w:val="28"/>
          <w:lang w:val="en-US" w:eastAsia="zh-CN"/>
        </w:rPr>
        <w:t>10</w:t>
      </w:r>
      <w:r>
        <w:rPr>
          <w:rFonts w:hint="eastAsia" w:ascii="宋体" w:hAnsi="宋体"/>
          <w:spacing w:val="18"/>
          <w:sz w:val="28"/>
          <w:szCs w:val="28"/>
        </w:rPr>
        <w:t>、交货周期：≤</w:t>
      </w:r>
      <w:r>
        <w:rPr>
          <w:rFonts w:hint="eastAsia" w:ascii="宋体" w:hAnsi="宋体"/>
          <w:spacing w:val="18"/>
          <w:sz w:val="28"/>
          <w:szCs w:val="28"/>
          <w:lang w:val="en-US" w:eastAsia="zh-CN"/>
        </w:rPr>
        <w:t>90</w:t>
      </w:r>
      <w:r>
        <w:rPr>
          <w:rFonts w:hint="eastAsia" w:ascii="宋体" w:hAnsi="宋体"/>
          <w:spacing w:val="18"/>
          <w:sz w:val="28"/>
          <w:szCs w:val="28"/>
        </w:rPr>
        <w:t>天</w:t>
      </w:r>
      <w:r>
        <w:rPr>
          <w:rFonts w:hint="eastAsia" w:ascii="宋体" w:hAnsi="宋体"/>
          <w:spacing w:val="18"/>
          <w:sz w:val="28"/>
          <w:szCs w:val="28"/>
          <w:lang w:eastAsia="zh-CN"/>
        </w:rPr>
        <w:t>。</w:t>
      </w:r>
    </w:p>
    <w:p>
      <w:pPr>
        <w:spacing w:line="360" w:lineRule="auto"/>
        <w:ind w:firstLine="795"/>
        <w:rPr>
          <w:rFonts w:hint="eastAsia" w:ascii="宋体" w:hAnsi="宋体"/>
          <w:spacing w:val="18"/>
          <w:sz w:val="28"/>
          <w:szCs w:val="28"/>
          <w:lang w:val="en-US" w:eastAsia="zh-CN"/>
        </w:rPr>
      </w:pPr>
      <w:r>
        <w:rPr>
          <w:rFonts w:hint="eastAsia" w:ascii="宋体" w:hAnsi="宋体"/>
          <w:spacing w:val="18"/>
          <w:sz w:val="28"/>
          <w:szCs w:val="28"/>
          <w:lang w:val="en-US" w:eastAsia="zh-CN"/>
        </w:rPr>
        <w:t>11、自开标之日起，投标有效期为90个日历天。</w:t>
      </w:r>
    </w:p>
    <w:p>
      <w:pPr>
        <w:spacing w:line="360" w:lineRule="auto"/>
        <w:ind w:firstLine="795"/>
        <w:rPr>
          <w:rFonts w:hint="eastAsia" w:ascii="宋体" w:hAnsi="宋体" w:eastAsia="宋体" w:cs="Times New Roman"/>
          <w:spacing w:val="18"/>
          <w:sz w:val="28"/>
          <w:szCs w:val="28"/>
          <w:lang w:val="en-US" w:eastAsia="zh-CN"/>
        </w:rPr>
      </w:pPr>
      <w:r>
        <w:rPr>
          <w:rFonts w:hint="eastAsia" w:ascii="宋体" w:hAnsi="宋体" w:eastAsia="宋体" w:cs="Times New Roman"/>
          <w:spacing w:val="18"/>
          <w:sz w:val="28"/>
          <w:szCs w:val="28"/>
          <w:lang w:val="en-US" w:eastAsia="zh-CN"/>
        </w:rPr>
        <w:t>12、勘察现场</w:t>
      </w:r>
    </w:p>
    <w:p>
      <w:pPr>
        <w:spacing w:line="360" w:lineRule="auto"/>
        <w:ind w:firstLine="795"/>
        <w:rPr>
          <w:rFonts w:hint="default" w:ascii="宋体" w:hAnsi="宋体" w:eastAsia="宋体" w:cs="Times New Roman"/>
          <w:spacing w:val="18"/>
          <w:sz w:val="28"/>
          <w:szCs w:val="28"/>
          <w:lang w:val="en-US" w:eastAsia="zh-CN"/>
        </w:rPr>
      </w:pPr>
      <w:r>
        <w:rPr>
          <w:rFonts w:hint="eastAsia" w:ascii="宋体" w:hAnsi="宋体" w:eastAsia="宋体" w:cs="Times New Roman"/>
          <w:spacing w:val="18"/>
          <w:sz w:val="28"/>
          <w:szCs w:val="28"/>
          <w:lang w:val="en-US" w:eastAsia="zh-CN"/>
        </w:rPr>
        <w:t>我公司于2024年3月6日上午10：00统一组织对现场和周围环境进行勘察。勘察现场所发生的一切费用由投标人自行承担。</w:t>
      </w:r>
    </w:p>
    <w:p>
      <w:pPr>
        <w:spacing w:line="360" w:lineRule="auto"/>
        <w:rPr>
          <w:rFonts w:hint="eastAsia" w:ascii="宋体" w:hAnsi="宋体"/>
          <w:spacing w:val="18"/>
          <w:sz w:val="28"/>
          <w:szCs w:val="28"/>
        </w:rPr>
      </w:pPr>
      <w:r>
        <w:rPr>
          <w:rFonts w:hint="eastAsia" w:ascii="宋体" w:hAnsi="宋体"/>
          <w:spacing w:val="18"/>
          <w:sz w:val="28"/>
          <w:szCs w:val="28"/>
        </w:rPr>
        <w:t xml:space="preserve">     二、投标方需呈报的有关资料：</w:t>
      </w:r>
    </w:p>
    <w:p>
      <w:pPr>
        <w:spacing w:line="360" w:lineRule="auto"/>
        <w:rPr>
          <w:rFonts w:hint="eastAsia" w:ascii="宋体" w:hAnsi="宋体"/>
          <w:spacing w:val="18"/>
          <w:sz w:val="28"/>
          <w:szCs w:val="28"/>
        </w:rPr>
      </w:pPr>
      <w:r>
        <w:rPr>
          <w:rFonts w:hint="eastAsia" w:ascii="宋体" w:hAnsi="宋体"/>
          <w:spacing w:val="18"/>
          <w:sz w:val="28"/>
          <w:szCs w:val="28"/>
        </w:rPr>
        <w:t xml:space="preserve">     技术标包括但不仅限于</w:t>
      </w:r>
    </w:p>
    <w:p>
      <w:pPr>
        <w:spacing w:line="360" w:lineRule="auto"/>
        <w:ind w:firstLine="790" w:firstLineChars="250"/>
        <w:rPr>
          <w:rFonts w:hint="eastAsia" w:ascii="宋体" w:hAnsi="宋体"/>
          <w:spacing w:val="18"/>
          <w:sz w:val="28"/>
          <w:szCs w:val="28"/>
        </w:rPr>
      </w:pPr>
      <w:r>
        <w:rPr>
          <w:rFonts w:hint="eastAsia" w:ascii="宋体" w:hAnsi="宋体"/>
          <w:spacing w:val="18"/>
          <w:sz w:val="28"/>
          <w:szCs w:val="28"/>
        </w:rPr>
        <w:t>1、投标企业的营业执照</w:t>
      </w:r>
    </w:p>
    <w:p>
      <w:pPr>
        <w:spacing w:line="360" w:lineRule="auto"/>
        <w:rPr>
          <w:rFonts w:hint="eastAsia" w:ascii="宋体" w:hAnsi="宋体"/>
          <w:spacing w:val="18"/>
          <w:sz w:val="28"/>
          <w:szCs w:val="28"/>
        </w:rPr>
      </w:pPr>
      <w:r>
        <w:rPr>
          <w:rFonts w:hint="eastAsia" w:ascii="宋体" w:hAnsi="宋体"/>
          <w:spacing w:val="18"/>
          <w:sz w:val="28"/>
          <w:szCs w:val="28"/>
        </w:rPr>
        <w:t xml:space="preserve">     2、投标企业简介</w:t>
      </w:r>
    </w:p>
    <w:p>
      <w:pPr>
        <w:spacing w:line="360" w:lineRule="auto"/>
        <w:rPr>
          <w:rFonts w:hint="eastAsia" w:ascii="宋体" w:hAnsi="宋体"/>
          <w:spacing w:val="18"/>
          <w:sz w:val="28"/>
          <w:szCs w:val="28"/>
        </w:rPr>
      </w:pPr>
      <w:r>
        <w:rPr>
          <w:rFonts w:hint="eastAsia" w:ascii="宋体" w:hAnsi="宋体"/>
          <w:spacing w:val="18"/>
          <w:sz w:val="28"/>
          <w:szCs w:val="28"/>
        </w:rPr>
        <w:t xml:space="preserve">     3、投标函</w:t>
      </w:r>
    </w:p>
    <w:p>
      <w:pPr>
        <w:spacing w:line="360" w:lineRule="auto"/>
        <w:rPr>
          <w:rFonts w:hint="eastAsia" w:ascii="宋体" w:hAnsi="宋体"/>
          <w:spacing w:val="18"/>
          <w:sz w:val="28"/>
          <w:szCs w:val="28"/>
        </w:rPr>
      </w:pPr>
      <w:r>
        <w:rPr>
          <w:rFonts w:hint="eastAsia" w:ascii="宋体" w:hAnsi="宋体"/>
          <w:spacing w:val="18"/>
          <w:sz w:val="28"/>
          <w:szCs w:val="28"/>
        </w:rPr>
        <w:t xml:space="preserve">     4、法人委托书（含身份证复印件，并加盖公章）</w:t>
      </w:r>
    </w:p>
    <w:p>
      <w:pPr>
        <w:spacing w:line="360" w:lineRule="auto"/>
        <w:rPr>
          <w:rFonts w:hint="eastAsia" w:ascii="宋体" w:hAnsi="宋体"/>
          <w:spacing w:val="18"/>
          <w:sz w:val="28"/>
          <w:szCs w:val="28"/>
        </w:rPr>
      </w:pPr>
      <w:r>
        <w:rPr>
          <w:rFonts w:hint="eastAsia" w:ascii="宋体" w:hAnsi="宋体"/>
          <w:spacing w:val="18"/>
          <w:sz w:val="28"/>
          <w:szCs w:val="28"/>
        </w:rPr>
        <w:t xml:space="preserve">     5、设备性能规格、主要配置及技术参数</w:t>
      </w:r>
    </w:p>
    <w:p>
      <w:pPr>
        <w:spacing w:line="360" w:lineRule="auto"/>
        <w:ind w:firstLine="790" w:firstLineChars="250"/>
        <w:rPr>
          <w:rFonts w:hint="eastAsia" w:ascii="宋体" w:hAnsi="宋体"/>
          <w:spacing w:val="18"/>
          <w:sz w:val="28"/>
          <w:szCs w:val="28"/>
        </w:rPr>
      </w:pPr>
      <w:r>
        <w:rPr>
          <w:rFonts w:hint="eastAsia" w:ascii="宋体" w:hAnsi="宋体"/>
          <w:spacing w:val="18"/>
          <w:sz w:val="28"/>
          <w:szCs w:val="28"/>
        </w:rPr>
        <w:t>6、近三年内同类项目</w:t>
      </w:r>
      <w:r>
        <w:rPr>
          <w:rFonts w:hint="eastAsia" w:ascii="宋体" w:hAnsi="宋体"/>
          <w:spacing w:val="18"/>
          <w:sz w:val="28"/>
          <w:szCs w:val="28"/>
          <w:lang w:val="en-US" w:eastAsia="zh-CN"/>
        </w:rPr>
        <w:t>3</w:t>
      </w:r>
      <w:r>
        <w:rPr>
          <w:rFonts w:hint="eastAsia" w:ascii="宋体" w:hAnsi="宋体"/>
          <w:spacing w:val="18"/>
          <w:sz w:val="28"/>
          <w:szCs w:val="28"/>
        </w:rPr>
        <w:t>份（合同复印件加盖公章）</w:t>
      </w:r>
    </w:p>
    <w:p>
      <w:pPr>
        <w:spacing w:line="360" w:lineRule="auto"/>
        <w:ind w:firstLine="790" w:firstLineChars="250"/>
        <w:rPr>
          <w:rFonts w:hint="eastAsia" w:ascii="宋体" w:hAnsi="宋体"/>
          <w:spacing w:val="18"/>
          <w:sz w:val="28"/>
          <w:szCs w:val="28"/>
        </w:rPr>
      </w:pPr>
      <w:r>
        <w:rPr>
          <w:rFonts w:hint="eastAsia" w:ascii="宋体" w:hAnsi="宋体"/>
          <w:spacing w:val="18"/>
          <w:sz w:val="28"/>
          <w:szCs w:val="28"/>
        </w:rPr>
        <w:t>7、服务承诺(包含响应时间</w:t>
      </w:r>
      <w:r>
        <w:rPr>
          <w:rFonts w:ascii="宋体" w:hAnsi="宋体"/>
          <w:spacing w:val="18"/>
          <w:sz w:val="28"/>
          <w:szCs w:val="28"/>
        </w:rPr>
        <w:t>)</w:t>
      </w:r>
    </w:p>
    <w:p>
      <w:pPr>
        <w:spacing w:line="360" w:lineRule="auto"/>
        <w:ind w:firstLine="790" w:firstLineChars="250"/>
        <w:rPr>
          <w:rFonts w:hint="eastAsia" w:ascii="宋体" w:hAnsi="宋体"/>
          <w:spacing w:val="18"/>
          <w:sz w:val="28"/>
          <w:szCs w:val="28"/>
          <w:highlight w:val="none"/>
        </w:rPr>
      </w:pPr>
      <w:r>
        <w:rPr>
          <w:rFonts w:hint="eastAsia" w:ascii="宋体" w:hAnsi="宋体"/>
          <w:spacing w:val="18"/>
          <w:sz w:val="28"/>
          <w:szCs w:val="28"/>
        </w:rPr>
        <w:t>8、投标响应文件（正偏离和负偏离要明确并附有相关解释说明并</w:t>
      </w:r>
      <w:r>
        <w:rPr>
          <w:rFonts w:hint="eastAsia" w:ascii="宋体" w:hAnsi="宋体"/>
          <w:spacing w:val="18"/>
          <w:sz w:val="28"/>
          <w:szCs w:val="28"/>
          <w:highlight w:val="none"/>
        </w:rPr>
        <w:t>加盖公章）</w:t>
      </w:r>
    </w:p>
    <w:p>
      <w:pPr>
        <w:spacing w:line="360" w:lineRule="auto"/>
        <w:ind w:firstLine="790" w:firstLineChars="250"/>
        <w:rPr>
          <w:rFonts w:hint="eastAsia" w:ascii="宋体" w:hAnsi="宋体"/>
          <w:spacing w:val="18"/>
          <w:sz w:val="28"/>
          <w:szCs w:val="28"/>
          <w:highlight w:val="none"/>
        </w:rPr>
      </w:pPr>
      <w:r>
        <w:rPr>
          <w:rFonts w:hint="eastAsia" w:ascii="宋体" w:hAnsi="宋体"/>
          <w:spacing w:val="18"/>
          <w:sz w:val="28"/>
          <w:szCs w:val="28"/>
          <w:highlight w:val="none"/>
          <w:lang w:val="en-US" w:eastAsia="zh-CN"/>
        </w:rPr>
        <w:t>9、</w:t>
      </w:r>
      <w:r>
        <w:rPr>
          <w:rFonts w:hint="eastAsia" w:ascii="宋体" w:hAnsi="宋体"/>
          <w:sz w:val="28"/>
          <w:szCs w:val="28"/>
          <w:highlight w:val="none"/>
          <w:lang w:eastAsia="zh-CN"/>
        </w:rPr>
        <w:t>若为代理商投标，则需提供生产厂家的唯一授权承诺书（加盖代理商及生产厂家公章）</w:t>
      </w:r>
    </w:p>
    <w:p>
      <w:pPr>
        <w:spacing w:line="360" w:lineRule="auto"/>
        <w:rPr>
          <w:rFonts w:hint="eastAsia" w:ascii="宋体" w:hAnsi="宋体"/>
          <w:spacing w:val="18"/>
          <w:sz w:val="28"/>
          <w:szCs w:val="28"/>
        </w:rPr>
      </w:pPr>
      <w:r>
        <w:rPr>
          <w:rFonts w:hint="eastAsia" w:ascii="宋体" w:hAnsi="宋体"/>
          <w:spacing w:val="18"/>
          <w:sz w:val="28"/>
          <w:szCs w:val="28"/>
        </w:rPr>
        <w:t xml:space="preserve">    商务标包括但不仅限于</w:t>
      </w:r>
    </w:p>
    <w:p>
      <w:pPr>
        <w:spacing w:line="360" w:lineRule="auto"/>
        <w:ind w:firstLine="632" w:firstLineChars="200"/>
        <w:rPr>
          <w:rFonts w:hint="eastAsia" w:ascii="宋体" w:hAnsi="宋体"/>
          <w:spacing w:val="18"/>
          <w:sz w:val="28"/>
          <w:szCs w:val="28"/>
        </w:rPr>
      </w:pPr>
      <w:r>
        <w:rPr>
          <w:rFonts w:hint="eastAsia" w:ascii="宋体" w:hAnsi="宋体"/>
          <w:spacing w:val="18"/>
          <w:sz w:val="28"/>
          <w:szCs w:val="28"/>
        </w:rPr>
        <w:t>1、设备数量和价格表</w:t>
      </w:r>
    </w:p>
    <w:p>
      <w:pPr>
        <w:spacing w:line="360" w:lineRule="auto"/>
        <w:ind w:firstLine="630"/>
        <w:rPr>
          <w:rFonts w:hint="eastAsia" w:ascii="宋体" w:hAnsi="宋体"/>
          <w:spacing w:val="18"/>
          <w:sz w:val="28"/>
          <w:szCs w:val="28"/>
        </w:rPr>
      </w:pPr>
      <w:r>
        <w:rPr>
          <w:rFonts w:hint="eastAsia" w:ascii="宋体" w:hAnsi="宋体"/>
          <w:spacing w:val="18"/>
          <w:sz w:val="28"/>
          <w:szCs w:val="28"/>
        </w:rPr>
        <w:t>2、商务条款：我公司的要求是预付30%，货到验收合格后付至90%，余款10%质保一年后支付。</w:t>
      </w:r>
    </w:p>
    <w:p>
      <w:pPr>
        <w:spacing w:line="360" w:lineRule="auto"/>
        <w:rPr>
          <w:rFonts w:hint="eastAsia" w:ascii="宋体" w:hAnsi="宋体"/>
          <w:spacing w:val="18"/>
          <w:sz w:val="28"/>
          <w:szCs w:val="28"/>
        </w:rPr>
      </w:pPr>
      <w:r>
        <w:rPr>
          <w:rFonts w:hint="eastAsia" w:ascii="宋体" w:hAnsi="宋体"/>
          <w:spacing w:val="18"/>
          <w:sz w:val="28"/>
          <w:szCs w:val="28"/>
        </w:rPr>
        <w:t>三、投标设备表（见下表）</w:t>
      </w:r>
    </w:p>
    <w:tbl>
      <w:tblPr>
        <w:tblStyle w:val="51"/>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55"/>
        <w:gridCol w:w="1965"/>
        <w:gridCol w:w="99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0"/>
            <w:vAlign w:val="center"/>
          </w:tcPr>
          <w:p>
            <w:pPr>
              <w:jc w:val="center"/>
              <w:rPr>
                <w:rFonts w:ascii="宋体" w:hAnsi="宋体" w:cs="宋体"/>
                <w:sz w:val="28"/>
                <w:szCs w:val="28"/>
              </w:rPr>
            </w:pPr>
            <w:r>
              <w:rPr>
                <w:rFonts w:hint="eastAsia" w:ascii="宋体" w:hAnsi="宋体" w:cs="宋体"/>
                <w:sz w:val="28"/>
                <w:szCs w:val="28"/>
              </w:rPr>
              <w:t>序号</w:t>
            </w:r>
          </w:p>
        </w:tc>
        <w:tc>
          <w:tcPr>
            <w:tcW w:w="2855" w:type="dxa"/>
            <w:noWrap w:val="0"/>
            <w:vAlign w:val="center"/>
          </w:tcPr>
          <w:p>
            <w:pPr>
              <w:jc w:val="center"/>
              <w:rPr>
                <w:rFonts w:ascii="宋体" w:hAnsi="宋体" w:cs="宋体"/>
                <w:sz w:val="28"/>
                <w:szCs w:val="28"/>
              </w:rPr>
            </w:pPr>
            <w:r>
              <w:rPr>
                <w:rFonts w:hint="eastAsia" w:ascii="宋体" w:hAnsi="宋体" w:cs="宋体"/>
                <w:sz w:val="28"/>
                <w:szCs w:val="28"/>
              </w:rPr>
              <w:t>投标名称</w:t>
            </w:r>
          </w:p>
        </w:tc>
        <w:tc>
          <w:tcPr>
            <w:tcW w:w="1965" w:type="dxa"/>
            <w:noWrap w:val="0"/>
            <w:vAlign w:val="center"/>
          </w:tcPr>
          <w:p>
            <w:pPr>
              <w:jc w:val="center"/>
              <w:rPr>
                <w:rFonts w:ascii="宋体" w:hAnsi="宋体" w:cs="宋体"/>
                <w:sz w:val="28"/>
                <w:szCs w:val="28"/>
              </w:rPr>
            </w:pPr>
            <w:r>
              <w:rPr>
                <w:rFonts w:hint="eastAsia" w:ascii="宋体" w:hAnsi="宋体" w:cs="宋体"/>
                <w:sz w:val="28"/>
                <w:szCs w:val="28"/>
              </w:rPr>
              <w:t>技术参数</w:t>
            </w:r>
          </w:p>
        </w:tc>
        <w:tc>
          <w:tcPr>
            <w:tcW w:w="992" w:type="dxa"/>
            <w:noWrap w:val="0"/>
            <w:vAlign w:val="center"/>
          </w:tcPr>
          <w:p>
            <w:pPr>
              <w:jc w:val="center"/>
              <w:rPr>
                <w:rFonts w:ascii="宋体" w:hAnsi="宋体" w:cs="宋体"/>
                <w:sz w:val="28"/>
                <w:szCs w:val="28"/>
              </w:rPr>
            </w:pPr>
            <w:r>
              <w:rPr>
                <w:rFonts w:hint="eastAsia" w:ascii="宋体" w:hAnsi="宋体" w:cs="宋体"/>
                <w:sz w:val="28"/>
                <w:szCs w:val="28"/>
              </w:rPr>
              <w:t>单位</w:t>
            </w:r>
          </w:p>
        </w:tc>
        <w:tc>
          <w:tcPr>
            <w:tcW w:w="850" w:type="dxa"/>
            <w:noWrap w:val="0"/>
            <w:vAlign w:val="center"/>
          </w:tcPr>
          <w:p>
            <w:pPr>
              <w:jc w:val="center"/>
              <w:rPr>
                <w:rFonts w:hint="eastAsia" w:ascii="宋体" w:hAnsi="宋体" w:cs="宋体"/>
                <w:sz w:val="28"/>
                <w:szCs w:val="28"/>
              </w:rPr>
            </w:pPr>
            <w:r>
              <w:rPr>
                <w:rFonts w:hint="eastAsia" w:ascii="宋体" w:hAnsi="宋体" w:cs="宋体"/>
                <w:sz w:val="28"/>
                <w:szCs w:val="28"/>
              </w:rPr>
              <w:t>数量</w:t>
            </w:r>
          </w:p>
        </w:tc>
        <w:tc>
          <w:tcPr>
            <w:tcW w:w="851" w:type="dxa"/>
            <w:noWrap w:val="0"/>
            <w:vAlign w:val="center"/>
          </w:tcPr>
          <w:p>
            <w:pPr>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0"/>
            <w:vAlign w:val="center"/>
          </w:tcPr>
          <w:p>
            <w:pPr>
              <w:jc w:val="center"/>
              <w:rPr>
                <w:rFonts w:hint="eastAsia" w:ascii="宋体" w:hAnsi="宋体" w:cs="宋体"/>
                <w:sz w:val="28"/>
                <w:szCs w:val="28"/>
              </w:rPr>
            </w:pPr>
            <w:r>
              <w:rPr>
                <w:rFonts w:hint="eastAsia" w:ascii="宋体" w:hAnsi="宋体" w:cs="宋体"/>
                <w:sz w:val="28"/>
                <w:szCs w:val="28"/>
              </w:rPr>
              <w:t>1</w:t>
            </w:r>
          </w:p>
        </w:tc>
        <w:tc>
          <w:tcPr>
            <w:tcW w:w="2855" w:type="dxa"/>
            <w:noWrap w:val="0"/>
            <w:vAlign w:val="center"/>
          </w:tcPr>
          <w:p>
            <w:pPr>
              <w:jc w:val="center"/>
              <w:rPr>
                <w:rFonts w:hint="default" w:ascii="宋体" w:hAnsi="宋体" w:eastAsia="宋体"/>
                <w:sz w:val="28"/>
                <w:szCs w:val="28"/>
                <w:lang w:val="en-US" w:eastAsia="zh-CN"/>
              </w:rPr>
            </w:pPr>
            <w:r>
              <w:rPr>
                <w:rFonts w:hint="eastAsia" w:ascii="宋体" w:hAnsi="宋体"/>
                <w:sz w:val="28"/>
                <w:szCs w:val="28"/>
                <w:lang w:val="en-US" w:eastAsia="zh-CN"/>
              </w:rPr>
              <w:t>直筒式多功能提取罐</w:t>
            </w:r>
          </w:p>
        </w:tc>
        <w:tc>
          <w:tcPr>
            <w:tcW w:w="1965" w:type="dxa"/>
            <w:noWrap w:val="0"/>
            <w:vAlign w:val="center"/>
          </w:tcPr>
          <w:p>
            <w:pPr>
              <w:jc w:val="center"/>
              <w:rPr>
                <w:rFonts w:hint="eastAsia" w:ascii="宋体" w:hAnsi="宋体" w:eastAsia="宋体"/>
                <w:sz w:val="28"/>
                <w:szCs w:val="28"/>
                <w:lang w:eastAsia="zh-CN"/>
              </w:rPr>
            </w:pPr>
            <w:r>
              <w:rPr>
                <w:rFonts w:hint="eastAsia" w:ascii="宋体" w:hAnsi="宋体"/>
                <w:sz w:val="28"/>
                <w:szCs w:val="28"/>
              </w:rPr>
              <w:t>见</w:t>
            </w:r>
            <w:r>
              <w:rPr>
                <w:rFonts w:hint="eastAsia" w:ascii="宋体" w:hAnsi="宋体"/>
                <w:sz w:val="28"/>
                <w:szCs w:val="28"/>
                <w:lang w:eastAsia="zh-CN"/>
              </w:rPr>
              <w:t>附件一</w:t>
            </w:r>
          </w:p>
        </w:tc>
        <w:tc>
          <w:tcPr>
            <w:tcW w:w="992" w:type="dxa"/>
            <w:noWrap w:val="0"/>
            <w:vAlign w:val="center"/>
          </w:tcPr>
          <w:p>
            <w:pPr>
              <w:jc w:val="center"/>
              <w:rPr>
                <w:rFonts w:hint="eastAsia" w:ascii="宋体" w:hAnsi="宋体" w:eastAsia="宋体" w:cs="宋体"/>
                <w:sz w:val="28"/>
                <w:szCs w:val="28"/>
                <w:lang w:eastAsia="zh-CN"/>
              </w:rPr>
            </w:pPr>
            <w:r>
              <w:rPr>
                <w:rFonts w:hint="eastAsia" w:ascii="宋体" w:hAnsi="宋体" w:cs="宋体"/>
                <w:sz w:val="28"/>
                <w:szCs w:val="28"/>
                <w:lang w:eastAsia="zh-CN"/>
              </w:rPr>
              <w:t>台</w:t>
            </w:r>
          </w:p>
        </w:tc>
        <w:tc>
          <w:tcPr>
            <w:tcW w:w="850" w:type="dxa"/>
            <w:noWrap w:val="0"/>
            <w:vAlign w:val="center"/>
          </w:tcPr>
          <w:p>
            <w:pPr>
              <w:jc w:val="center"/>
              <w:rPr>
                <w:rFonts w:hint="eastAsia" w:ascii="宋体" w:hAnsi="宋体" w:eastAsia="宋体" w:cs="宋体"/>
                <w:sz w:val="28"/>
                <w:szCs w:val="28"/>
                <w:lang w:eastAsia="zh-CN"/>
              </w:rPr>
            </w:pPr>
            <w:r>
              <w:rPr>
                <w:rFonts w:hint="eastAsia" w:ascii="宋体" w:hAnsi="宋体" w:cs="宋体"/>
                <w:sz w:val="28"/>
                <w:szCs w:val="28"/>
                <w:lang w:val="en-US" w:eastAsia="zh-CN"/>
              </w:rPr>
              <w:t>3</w:t>
            </w:r>
          </w:p>
        </w:tc>
        <w:tc>
          <w:tcPr>
            <w:tcW w:w="851"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2855" w:type="dxa"/>
            <w:noWrap w:val="0"/>
            <w:vAlign w:val="center"/>
          </w:tcPr>
          <w:p>
            <w:pPr>
              <w:jc w:val="center"/>
              <w:rPr>
                <w:rFonts w:hint="default" w:ascii="宋体" w:hAnsi="宋体"/>
                <w:sz w:val="28"/>
                <w:szCs w:val="28"/>
                <w:lang w:val="en-US" w:eastAsia="zh-CN"/>
              </w:rPr>
            </w:pPr>
            <w:r>
              <w:rPr>
                <w:rFonts w:hint="eastAsia" w:ascii="宋体" w:hAnsi="宋体"/>
                <w:sz w:val="28"/>
                <w:szCs w:val="28"/>
                <w:lang w:val="en-US" w:eastAsia="zh-CN"/>
              </w:rPr>
              <w:t>中药挥发油提取罐</w:t>
            </w:r>
          </w:p>
        </w:tc>
        <w:tc>
          <w:tcPr>
            <w:tcW w:w="1965" w:type="dxa"/>
            <w:noWrap w:val="0"/>
            <w:vAlign w:val="center"/>
          </w:tcPr>
          <w:p>
            <w:pPr>
              <w:jc w:val="center"/>
              <w:rPr>
                <w:rFonts w:hint="eastAsia" w:ascii="宋体" w:hAnsi="宋体"/>
                <w:sz w:val="28"/>
                <w:szCs w:val="28"/>
              </w:rPr>
            </w:pPr>
            <w:r>
              <w:rPr>
                <w:rFonts w:hint="eastAsia" w:ascii="宋体" w:hAnsi="宋体"/>
                <w:sz w:val="28"/>
                <w:szCs w:val="28"/>
              </w:rPr>
              <w:t>见</w:t>
            </w:r>
            <w:r>
              <w:rPr>
                <w:rFonts w:hint="eastAsia" w:ascii="宋体" w:hAnsi="宋体"/>
                <w:sz w:val="28"/>
                <w:szCs w:val="28"/>
                <w:lang w:eastAsia="zh-CN"/>
              </w:rPr>
              <w:t>附件</w:t>
            </w:r>
            <w:r>
              <w:rPr>
                <w:rFonts w:hint="eastAsia" w:ascii="宋体" w:hAnsi="宋体"/>
                <w:sz w:val="28"/>
                <w:szCs w:val="28"/>
                <w:lang w:val="en-US" w:eastAsia="zh-CN"/>
              </w:rPr>
              <w:t>二</w:t>
            </w:r>
          </w:p>
        </w:tc>
        <w:tc>
          <w:tcPr>
            <w:tcW w:w="992" w:type="dxa"/>
            <w:noWrap w:val="0"/>
            <w:vAlign w:val="center"/>
          </w:tcPr>
          <w:p>
            <w:pPr>
              <w:jc w:val="center"/>
              <w:rPr>
                <w:rFonts w:hint="eastAsia" w:ascii="宋体" w:hAnsi="宋体" w:cs="宋体"/>
                <w:sz w:val="28"/>
                <w:szCs w:val="28"/>
                <w:lang w:eastAsia="zh-CN"/>
              </w:rPr>
            </w:pPr>
            <w:r>
              <w:rPr>
                <w:rFonts w:hint="eastAsia" w:ascii="宋体" w:hAnsi="宋体" w:cs="宋体"/>
                <w:sz w:val="28"/>
                <w:szCs w:val="28"/>
                <w:lang w:eastAsia="zh-CN"/>
              </w:rPr>
              <w:t>台</w:t>
            </w:r>
          </w:p>
        </w:tc>
        <w:tc>
          <w:tcPr>
            <w:tcW w:w="850" w:type="dxa"/>
            <w:noWrap w:val="0"/>
            <w:vAlign w:val="center"/>
          </w:tcPr>
          <w:p>
            <w:pPr>
              <w:jc w:val="center"/>
              <w:rPr>
                <w:rFonts w:hint="eastAsia" w:ascii="宋体" w:hAnsi="宋体" w:cs="宋体"/>
                <w:sz w:val="28"/>
                <w:szCs w:val="28"/>
                <w:lang w:val="en-US" w:eastAsia="zh-CN"/>
              </w:rPr>
            </w:pPr>
            <w:r>
              <w:rPr>
                <w:rFonts w:hint="eastAsia" w:ascii="宋体" w:hAnsi="宋体" w:cs="宋体"/>
                <w:sz w:val="28"/>
                <w:szCs w:val="28"/>
                <w:lang w:val="en-US" w:eastAsia="zh-CN"/>
              </w:rPr>
              <w:t>2</w:t>
            </w:r>
          </w:p>
        </w:tc>
        <w:tc>
          <w:tcPr>
            <w:tcW w:w="851" w:type="dxa"/>
            <w:noWrap w:val="0"/>
            <w:vAlign w:val="center"/>
          </w:tcPr>
          <w:p>
            <w:pPr>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1"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2855" w:type="dxa"/>
            <w:noWrap w:val="0"/>
            <w:vAlign w:val="center"/>
          </w:tcPr>
          <w:p>
            <w:pPr>
              <w:jc w:val="center"/>
              <w:rPr>
                <w:rFonts w:hint="default" w:ascii="宋体" w:hAnsi="宋体"/>
                <w:sz w:val="28"/>
                <w:szCs w:val="28"/>
                <w:lang w:val="en-US" w:eastAsia="zh-CN"/>
              </w:rPr>
            </w:pPr>
            <w:r>
              <w:rPr>
                <w:rFonts w:hint="eastAsia" w:ascii="宋体" w:hAnsi="宋体"/>
                <w:sz w:val="28"/>
                <w:szCs w:val="28"/>
                <w:lang w:val="en-US" w:eastAsia="zh-CN"/>
              </w:rPr>
              <w:t>醇沉罐</w:t>
            </w:r>
          </w:p>
        </w:tc>
        <w:tc>
          <w:tcPr>
            <w:tcW w:w="1965" w:type="dxa"/>
            <w:noWrap w:val="0"/>
            <w:vAlign w:val="center"/>
          </w:tcPr>
          <w:p>
            <w:pPr>
              <w:jc w:val="center"/>
              <w:rPr>
                <w:rFonts w:hint="eastAsia" w:ascii="宋体" w:hAnsi="宋体"/>
                <w:sz w:val="28"/>
                <w:szCs w:val="28"/>
              </w:rPr>
            </w:pPr>
            <w:r>
              <w:rPr>
                <w:rFonts w:hint="eastAsia" w:ascii="宋体" w:hAnsi="宋体"/>
                <w:sz w:val="28"/>
                <w:szCs w:val="28"/>
              </w:rPr>
              <w:t>见</w:t>
            </w:r>
            <w:r>
              <w:rPr>
                <w:rFonts w:hint="eastAsia" w:ascii="宋体" w:hAnsi="宋体"/>
                <w:sz w:val="28"/>
                <w:szCs w:val="28"/>
                <w:lang w:eastAsia="zh-CN"/>
              </w:rPr>
              <w:t>附件</w:t>
            </w:r>
            <w:r>
              <w:rPr>
                <w:rFonts w:hint="eastAsia" w:ascii="宋体" w:hAnsi="宋体"/>
                <w:sz w:val="28"/>
                <w:szCs w:val="28"/>
                <w:lang w:val="en-US" w:eastAsia="zh-CN"/>
              </w:rPr>
              <w:t>三</w:t>
            </w:r>
          </w:p>
        </w:tc>
        <w:tc>
          <w:tcPr>
            <w:tcW w:w="992" w:type="dxa"/>
            <w:noWrap w:val="0"/>
            <w:vAlign w:val="center"/>
          </w:tcPr>
          <w:p>
            <w:pPr>
              <w:jc w:val="center"/>
              <w:rPr>
                <w:rFonts w:hint="eastAsia" w:ascii="宋体" w:hAnsi="宋体" w:cs="宋体"/>
                <w:sz w:val="28"/>
                <w:szCs w:val="28"/>
                <w:lang w:eastAsia="zh-CN"/>
              </w:rPr>
            </w:pPr>
            <w:r>
              <w:rPr>
                <w:rFonts w:hint="eastAsia" w:ascii="宋体" w:hAnsi="宋体" w:cs="宋体"/>
                <w:sz w:val="28"/>
                <w:szCs w:val="28"/>
                <w:lang w:eastAsia="zh-CN"/>
              </w:rPr>
              <w:t>台</w:t>
            </w:r>
          </w:p>
        </w:tc>
        <w:tc>
          <w:tcPr>
            <w:tcW w:w="850" w:type="dxa"/>
            <w:noWrap w:val="0"/>
            <w:vAlign w:val="center"/>
          </w:tcPr>
          <w:p>
            <w:pPr>
              <w:jc w:val="center"/>
              <w:rPr>
                <w:rFonts w:hint="eastAsia" w:ascii="宋体" w:hAnsi="宋体" w:cs="宋体"/>
                <w:sz w:val="28"/>
                <w:szCs w:val="28"/>
                <w:lang w:val="en-US" w:eastAsia="zh-CN"/>
              </w:rPr>
            </w:pPr>
            <w:r>
              <w:rPr>
                <w:rFonts w:hint="eastAsia" w:ascii="宋体" w:hAnsi="宋体" w:cs="宋体"/>
                <w:sz w:val="28"/>
                <w:szCs w:val="28"/>
                <w:lang w:val="en-US" w:eastAsia="zh-CN"/>
              </w:rPr>
              <w:t>2</w:t>
            </w:r>
          </w:p>
        </w:tc>
        <w:tc>
          <w:tcPr>
            <w:tcW w:w="851" w:type="dxa"/>
            <w:noWrap w:val="0"/>
            <w:vAlign w:val="center"/>
          </w:tcPr>
          <w:p>
            <w:pPr>
              <w:jc w:val="center"/>
              <w:rPr>
                <w:rFonts w:hint="eastAsia" w:ascii="宋体" w:hAnsi="宋体" w:cs="宋体"/>
                <w:sz w:val="28"/>
                <w:szCs w:val="28"/>
              </w:rPr>
            </w:pPr>
          </w:p>
        </w:tc>
      </w:tr>
    </w:tbl>
    <w:p>
      <w:pPr>
        <w:spacing w:line="360" w:lineRule="auto"/>
        <w:ind w:firstLine="632" w:firstLineChars="200"/>
        <w:rPr>
          <w:rFonts w:hint="eastAsia" w:ascii="宋体" w:hAnsi="宋体"/>
          <w:spacing w:val="18"/>
          <w:sz w:val="28"/>
          <w:szCs w:val="28"/>
        </w:rPr>
      </w:pPr>
      <w:r>
        <w:rPr>
          <w:rFonts w:hint="eastAsia" w:ascii="宋体" w:hAnsi="宋体"/>
          <w:spacing w:val="18"/>
          <w:sz w:val="28"/>
          <w:szCs w:val="28"/>
        </w:rPr>
        <w:t>请相关投标单位于20</w:t>
      </w:r>
      <w:r>
        <w:rPr>
          <w:rFonts w:ascii="宋体" w:hAnsi="宋体"/>
          <w:spacing w:val="18"/>
          <w:sz w:val="28"/>
          <w:szCs w:val="28"/>
        </w:rPr>
        <w:t>2</w:t>
      </w:r>
      <w:r>
        <w:rPr>
          <w:rFonts w:hint="eastAsia" w:ascii="宋体" w:hAnsi="宋体"/>
          <w:spacing w:val="18"/>
          <w:sz w:val="28"/>
          <w:szCs w:val="28"/>
          <w:lang w:val="en-US" w:eastAsia="zh-CN"/>
        </w:rPr>
        <w:t>4</w:t>
      </w:r>
      <w:r>
        <w:rPr>
          <w:rFonts w:hint="eastAsia" w:ascii="宋体" w:hAnsi="宋体"/>
          <w:spacing w:val="18"/>
          <w:sz w:val="28"/>
          <w:szCs w:val="28"/>
        </w:rPr>
        <w:t>年</w:t>
      </w:r>
      <w:r>
        <w:rPr>
          <w:rFonts w:hint="eastAsia" w:ascii="宋体" w:hAnsi="宋体"/>
          <w:spacing w:val="18"/>
          <w:sz w:val="28"/>
          <w:szCs w:val="28"/>
          <w:lang w:val="en-US" w:eastAsia="zh-CN"/>
        </w:rPr>
        <w:t>3</w:t>
      </w:r>
      <w:r>
        <w:rPr>
          <w:rFonts w:hint="eastAsia" w:ascii="宋体" w:hAnsi="宋体"/>
          <w:spacing w:val="18"/>
          <w:sz w:val="28"/>
          <w:szCs w:val="28"/>
        </w:rPr>
        <w:t>月</w:t>
      </w:r>
      <w:r>
        <w:rPr>
          <w:rFonts w:hint="eastAsia" w:ascii="宋体" w:hAnsi="宋体"/>
          <w:spacing w:val="18"/>
          <w:sz w:val="28"/>
          <w:szCs w:val="28"/>
          <w:lang w:val="en-US" w:eastAsia="zh-CN"/>
        </w:rPr>
        <w:t>18</w:t>
      </w:r>
      <w:r>
        <w:rPr>
          <w:rFonts w:hint="eastAsia" w:ascii="宋体" w:hAnsi="宋体"/>
          <w:spacing w:val="18"/>
          <w:sz w:val="28"/>
          <w:szCs w:val="28"/>
        </w:rPr>
        <w:t>日</w:t>
      </w:r>
      <w:r>
        <w:rPr>
          <w:rFonts w:hint="eastAsia" w:ascii="宋体" w:hAnsi="宋体"/>
          <w:spacing w:val="18"/>
          <w:sz w:val="28"/>
          <w:szCs w:val="28"/>
          <w:lang w:val="en-US" w:eastAsia="zh-CN"/>
        </w:rPr>
        <w:t>16:00</w:t>
      </w:r>
      <w:r>
        <w:rPr>
          <w:rFonts w:hint="eastAsia" w:ascii="宋体" w:hAnsi="宋体"/>
          <w:spacing w:val="18"/>
          <w:sz w:val="28"/>
          <w:szCs w:val="28"/>
        </w:rPr>
        <w:t>以前将标书送达到我公司招标委员会收（传真标书无效），下附联系方式：</w:t>
      </w:r>
    </w:p>
    <w:p>
      <w:pPr>
        <w:spacing w:line="360" w:lineRule="auto"/>
        <w:ind w:firstLine="560" w:firstLineChars="200"/>
        <w:rPr>
          <w:rFonts w:hint="eastAsia" w:ascii="宋体" w:hAnsi="宋体"/>
          <w:sz w:val="28"/>
          <w:szCs w:val="28"/>
        </w:rPr>
      </w:pPr>
      <w:r>
        <w:rPr>
          <w:rFonts w:hint="eastAsia" w:ascii="宋体" w:hAnsi="宋体"/>
          <w:sz w:val="28"/>
          <w:szCs w:val="28"/>
        </w:rPr>
        <w:t>公司名称：上海医药集团</w:t>
      </w:r>
      <w:r>
        <w:rPr>
          <w:rFonts w:hint="eastAsia" w:ascii="宋体" w:hAnsi="宋体"/>
          <w:spacing w:val="18"/>
          <w:sz w:val="28"/>
          <w:szCs w:val="28"/>
        </w:rPr>
        <w:t>青岛国风药业股份有限公司</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地址：青岛市</w:t>
      </w:r>
      <w:r>
        <w:rPr>
          <w:rFonts w:hint="eastAsia" w:ascii="宋体" w:hAnsi="宋体"/>
          <w:sz w:val="28"/>
          <w:szCs w:val="28"/>
          <w:lang w:val="en-US" w:eastAsia="zh-CN"/>
        </w:rPr>
        <w:t>黄岛区松花江路18号</w:t>
      </w:r>
    </w:p>
    <w:p>
      <w:pPr>
        <w:spacing w:line="360" w:lineRule="auto"/>
        <w:ind w:firstLine="560" w:firstLineChars="200"/>
        <w:rPr>
          <w:rFonts w:hint="eastAsia" w:ascii="宋体" w:hAnsi="宋体"/>
          <w:sz w:val="28"/>
          <w:szCs w:val="28"/>
        </w:rPr>
      </w:pPr>
      <w:r>
        <w:rPr>
          <w:rFonts w:hint="eastAsia" w:ascii="宋体" w:hAnsi="宋体"/>
          <w:sz w:val="28"/>
          <w:szCs w:val="28"/>
        </w:rPr>
        <w:t>联系人：</w:t>
      </w:r>
      <w:r>
        <w:rPr>
          <w:rFonts w:hint="eastAsia" w:ascii="宋体" w:hAnsi="宋体"/>
          <w:sz w:val="28"/>
          <w:szCs w:val="28"/>
          <w:lang w:val="en-US" w:eastAsia="zh-CN"/>
        </w:rPr>
        <w:t>吴庆本</w:t>
      </w:r>
      <w:r>
        <w:rPr>
          <w:rFonts w:hint="eastAsia" w:ascii="宋体" w:hAnsi="宋体"/>
          <w:sz w:val="28"/>
          <w:szCs w:val="28"/>
        </w:rPr>
        <w:t xml:space="preserve"> </w:t>
      </w:r>
    </w:p>
    <w:p>
      <w:pPr>
        <w:spacing w:line="360" w:lineRule="auto"/>
        <w:ind w:firstLine="560" w:firstLineChars="200"/>
        <w:rPr>
          <w:rFonts w:hint="eastAsia" w:ascii="宋体" w:hAnsi="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 xml:space="preserve">0532-86058996 </w:t>
      </w:r>
    </w:p>
    <w:p>
      <w:pPr>
        <w:spacing w:line="360" w:lineRule="auto"/>
        <w:ind w:firstLine="560" w:firstLineChars="200"/>
        <w:rPr>
          <w:rFonts w:hint="eastAsia" w:ascii="宋体" w:hAnsi="宋体"/>
          <w:sz w:val="28"/>
          <w:szCs w:val="28"/>
          <w:lang w:eastAsia="zh-CN"/>
        </w:rPr>
      </w:pPr>
      <w:r>
        <w:rPr>
          <w:rFonts w:hint="eastAsia" w:ascii="宋体" w:hAnsi="宋体"/>
          <w:sz w:val="28"/>
          <w:szCs w:val="28"/>
        </w:rPr>
        <w:t>专业咨询电话： 0532-86058</w:t>
      </w:r>
      <w:r>
        <w:rPr>
          <w:rFonts w:hint="eastAsia" w:ascii="宋体" w:hAnsi="宋体"/>
          <w:sz w:val="28"/>
          <w:szCs w:val="28"/>
          <w:lang w:val="en-US" w:eastAsia="zh-CN"/>
        </w:rPr>
        <w:t>920</w:t>
      </w:r>
      <w:r>
        <w:rPr>
          <w:rFonts w:hint="eastAsia" w:ascii="宋体" w:hAnsi="宋体"/>
          <w:sz w:val="28"/>
          <w:szCs w:val="28"/>
        </w:rPr>
        <w:t xml:space="preserve"> </w:t>
      </w:r>
      <w:r>
        <w:rPr>
          <w:rFonts w:hint="eastAsia" w:ascii="宋体" w:hAnsi="宋体"/>
          <w:sz w:val="28"/>
          <w:szCs w:val="28"/>
          <w:lang w:val="en-US" w:eastAsia="zh-CN"/>
        </w:rPr>
        <w:t>卢克强</w:t>
      </w:r>
    </w:p>
    <w:p>
      <w:pPr>
        <w:spacing w:line="360" w:lineRule="auto"/>
        <w:ind w:firstLine="560" w:firstLineChars="200"/>
        <w:rPr>
          <w:rFonts w:hint="eastAsia" w:ascii="宋体" w:hAnsi="宋体"/>
          <w:sz w:val="28"/>
          <w:szCs w:val="28"/>
        </w:rPr>
      </w:pPr>
      <w:r>
        <w:rPr>
          <w:rFonts w:hint="eastAsia" w:ascii="宋体" w:hAnsi="宋体"/>
          <w:sz w:val="28"/>
          <w:szCs w:val="28"/>
        </w:rPr>
        <w:t>传真：0532-86058999</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邮编：266</w:t>
      </w:r>
      <w:r>
        <w:rPr>
          <w:rFonts w:hint="eastAsia" w:ascii="宋体" w:hAnsi="宋体"/>
          <w:sz w:val="28"/>
          <w:szCs w:val="28"/>
          <w:lang w:val="en-US" w:eastAsia="zh-CN"/>
        </w:rPr>
        <w:t>500</w:t>
      </w:r>
    </w:p>
    <w:p>
      <w:pPr>
        <w:spacing w:line="360" w:lineRule="auto"/>
        <w:ind w:right="140"/>
        <w:jc w:val="right"/>
        <w:rPr>
          <w:rFonts w:hint="eastAsia" w:ascii="宋体" w:hAnsi="宋体"/>
          <w:sz w:val="28"/>
          <w:szCs w:val="28"/>
        </w:rPr>
      </w:pPr>
      <w:r>
        <w:rPr>
          <w:rFonts w:hint="eastAsia" w:ascii="宋体" w:hAnsi="宋体"/>
          <w:sz w:val="28"/>
          <w:szCs w:val="28"/>
        </w:rPr>
        <w:t>上海医药集团青岛国风药业股份有限公司招标办</w:t>
      </w:r>
    </w:p>
    <w:p>
      <w:pPr>
        <w:spacing w:line="360" w:lineRule="auto"/>
        <w:ind w:firstLine="3640" w:firstLineChars="1300"/>
        <w:jc w:val="center"/>
        <w:rPr>
          <w:rFonts w:hint="eastAsia" w:ascii="宋体" w:hAnsi="宋体"/>
          <w:sz w:val="28"/>
          <w:szCs w:val="28"/>
        </w:rPr>
      </w:pPr>
      <w:r>
        <w:rPr>
          <w:rFonts w:hint="eastAsia" w:ascii="宋体" w:hAnsi="宋体"/>
          <w:sz w:val="28"/>
          <w:szCs w:val="28"/>
        </w:rPr>
        <w:t xml:space="preserve">     20</w:t>
      </w:r>
      <w:r>
        <w:rPr>
          <w:rFonts w:ascii="宋体" w:hAnsi="宋体"/>
          <w:sz w:val="28"/>
          <w:szCs w:val="28"/>
        </w:rPr>
        <w:t>2</w:t>
      </w:r>
      <w:r>
        <w:rPr>
          <w:rFonts w:hint="eastAsia" w:ascii="宋体" w:hAnsi="宋体"/>
          <w:sz w:val="28"/>
          <w:szCs w:val="28"/>
          <w:lang w:val="en-US" w:eastAsia="zh-CN"/>
        </w:rPr>
        <w:t>4</w:t>
      </w:r>
      <w:r>
        <w:rPr>
          <w:rFonts w:hint="eastAsia" w:ascii="宋体" w:hAnsi="宋体"/>
          <w:sz w:val="28"/>
          <w:szCs w:val="28"/>
        </w:rPr>
        <w:t xml:space="preserve">年 </w:t>
      </w:r>
      <w:r>
        <w:rPr>
          <w:rFonts w:hint="eastAsia" w:ascii="宋体" w:hAnsi="宋体"/>
          <w:sz w:val="28"/>
          <w:szCs w:val="28"/>
          <w:lang w:val="en-US" w:eastAsia="zh-CN"/>
        </w:rPr>
        <w:t>2</w:t>
      </w:r>
      <w:r>
        <w:rPr>
          <w:rFonts w:hint="eastAsia" w:ascii="宋体" w:hAnsi="宋体"/>
          <w:sz w:val="28"/>
          <w:szCs w:val="28"/>
        </w:rPr>
        <w:t xml:space="preserve">月 </w:t>
      </w:r>
      <w:r>
        <w:rPr>
          <w:rFonts w:hint="eastAsia" w:ascii="宋体" w:hAnsi="宋体"/>
          <w:sz w:val="28"/>
          <w:szCs w:val="28"/>
          <w:lang w:val="en-US" w:eastAsia="zh-CN"/>
        </w:rPr>
        <w:t>27</w:t>
      </w:r>
      <w:r>
        <w:rPr>
          <w:rFonts w:hint="eastAsia" w:ascii="宋体" w:hAnsi="宋体"/>
          <w:sz w:val="28"/>
          <w:szCs w:val="28"/>
        </w:rPr>
        <w:t>日</w:t>
      </w:r>
    </w:p>
    <w:p>
      <w:pPr>
        <w:spacing w:line="360" w:lineRule="auto"/>
        <w:rPr>
          <w:rFonts w:ascii="Arial" w:hAnsi="Arial"/>
          <w:color w:val="000000"/>
          <w:sz w:val="24"/>
        </w:rPr>
      </w:pPr>
    </w:p>
    <w:p>
      <w:pPr>
        <w:spacing w:line="360" w:lineRule="auto"/>
        <w:rPr>
          <w:rFonts w:ascii="Arial" w:hAnsi="Arial"/>
          <w:color w:val="000000"/>
          <w:sz w:val="24"/>
        </w:rPr>
      </w:pPr>
    </w:p>
    <w:p>
      <w:pPr>
        <w:spacing w:line="360" w:lineRule="auto"/>
        <w:rPr>
          <w:rFonts w:ascii="Arial" w:hAnsi="Arial"/>
          <w:color w:val="000000"/>
          <w:sz w:val="24"/>
        </w:rPr>
      </w:pPr>
    </w:p>
    <w:p>
      <w:pPr>
        <w:spacing w:line="360" w:lineRule="auto"/>
        <w:rPr>
          <w:rFonts w:ascii="Arial" w:hAnsi="Arial"/>
          <w:color w:val="000000"/>
          <w:sz w:val="24"/>
        </w:rPr>
      </w:pPr>
    </w:p>
    <w:p>
      <w:pPr>
        <w:spacing w:line="360" w:lineRule="auto"/>
        <w:rPr>
          <w:rFonts w:ascii="Arial" w:hAnsi="Arial"/>
          <w:color w:val="000000"/>
          <w:sz w:val="24"/>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snapToGrid w:val="0"/>
        <w:spacing w:line="300" w:lineRule="auto"/>
        <w:jc w:val="both"/>
        <w:rPr>
          <w:rFonts w:hint="default" w:ascii="宋体" w:hAnsi="宋体" w:eastAsia="宋体" w:cs="宋体"/>
          <w:b/>
          <w:color w:val="000000"/>
          <w:sz w:val="24"/>
          <w:lang w:val="en-US" w:eastAsia="zh-CN"/>
        </w:rPr>
      </w:pPr>
      <w:r>
        <w:rPr>
          <w:rFonts w:hint="eastAsia" w:ascii="宋体" w:hAnsi="宋体" w:cs="宋体"/>
          <w:b/>
          <w:color w:val="000000"/>
          <w:sz w:val="24"/>
          <w:lang w:val="en-US" w:eastAsia="zh-CN"/>
        </w:rPr>
        <w:t>附件一：</w:t>
      </w:r>
    </w:p>
    <w:tbl>
      <w:tblPr>
        <w:tblStyle w:val="51"/>
        <w:tblW w:w="16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371"/>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概述</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目的及用途：</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将中药净料进行煎煮操作，快速安全的生产出符合相关工艺要求的煎煮液</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安装位置：</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三楼投料间</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参考文献：</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&lt;药品生产质量管理规范&gt;(2010)  。</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 xml:space="preserve">《中华人民共和国药品管理法》  。 </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《中华人民共和国药品管理法实施条例》。</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 xml:space="preserve">《中国药典》2020版  GBZ-2010工业企业设计卫生标准 。 </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GB20021-2004中华人民共和国制药机械行业标准  。</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中国制药装备协会所颁布的制药工程设备标准、ISO9000、ISO14000、OSAHS18000、GB150 （中国压力容器标准）</w:t>
            </w:r>
          </w:p>
          <w:p>
            <w:pPr>
              <w:snapToGrid w:val="0"/>
              <w:spacing w:line="300" w:lineRule="auto"/>
              <w:jc w:val="left"/>
              <w:rPr>
                <w:rFonts w:ascii="仿宋" w:hAnsi="仿宋" w:eastAsia="仿宋" w:cs="宋体"/>
                <w:b w:val="0"/>
                <w:bCs w:val="0"/>
                <w:color w:val="auto"/>
                <w:szCs w:val="21"/>
              </w:rPr>
            </w:pPr>
            <w:r>
              <w:rPr>
                <w:rFonts w:hint="eastAsia" w:ascii="仿宋" w:hAnsi="仿宋" w:eastAsia="仿宋"/>
                <w:b w:val="0"/>
                <w:bCs w:val="0"/>
                <w:color w:val="auto"/>
                <w:szCs w:val="21"/>
              </w:rPr>
              <w:t xml:space="preserve">  GB-52261-2002 机械安全机械电气设备第一部分：通用技术条件 GB-12265-90 机械防护安全要求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综述（供货范围、工艺过程、主要特点等）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9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highlight w:val="none"/>
              </w:rPr>
            </w:pPr>
            <w:r>
              <w:rPr>
                <w:rFonts w:hint="eastAsia" w:ascii="仿宋" w:hAnsi="仿宋" w:eastAsia="仿宋" w:cs="宋体"/>
                <w:b w:val="0"/>
                <w:bCs w:val="0"/>
                <w:color w:val="auto"/>
                <w:szCs w:val="21"/>
                <w:highlight w:val="none"/>
              </w:rPr>
              <w:t>URS001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s="宋体"/>
                <w:b w:val="0"/>
                <w:bCs w:val="0"/>
                <w:color w:val="auto"/>
                <w:szCs w:val="21"/>
                <w:highlight w:val="none"/>
                <w:lang w:val="en-US" w:eastAsia="zh-CN"/>
              </w:rPr>
            </w:pPr>
            <w:r>
              <w:rPr>
                <w:rFonts w:hint="eastAsia" w:ascii="仿宋" w:hAnsi="仿宋" w:eastAsia="仿宋"/>
                <w:b w:val="0"/>
                <w:bCs w:val="0"/>
                <w:color w:val="auto"/>
                <w:szCs w:val="21"/>
                <w:highlight w:val="none"/>
              </w:rPr>
              <w:t>供货范围：6立方直筒式多功能提取罐3台</w:t>
            </w:r>
            <w:r>
              <w:rPr>
                <w:rFonts w:hint="eastAsia" w:ascii="仿宋" w:hAnsi="仿宋" w:eastAsia="仿宋"/>
                <w:b w:val="0"/>
                <w:bCs w:val="0"/>
                <w:color w:val="auto"/>
                <w:szCs w:val="21"/>
                <w:highlight w:val="none"/>
                <w:lang w:eastAsia="zh-CN"/>
              </w:rPr>
              <w:t>（</w:t>
            </w:r>
            <w:r>
              <w:rPr>
                <w:rFonts w:hint="eastAsia" w:ascii="仿宋" w:hAnsi="仿宋" w:eastAsia="仿宋"/>
                <w:b w:val="0"/>
                <w:bCs w:val="0"/>
                <w:color w:val="auto"/>
                <w:szCs w:val="21"/>
                <w:highlight w:val="none"/>
                <w:lang w:val="en-US" w:eastAsia="zh-CN"/>
              </w:rPr>
              <w:t>其中一台带搅拌，两台预留搅拌位置</w:t>
            </w:r>
            <w:r>
              <w:rPr>
                <w:rFonts w:hint="eastAsia" w:ascii="仿宋" w:hAnsi="仿宋" w:eastAsia="仿宋"/>
                <w:b w:val="0"/>
                <w:bCs w:val="0"/>
                <w:color w:val="auto"/>
                <w:szCs w:val="21"/>
                <w:highlight w:val="none"/>
                <w:lang w:eastAsia="zh-CN"/>
              </w:rPr>
              <w:t>）</w:t>
            </w:r>
            <w:r>
              <w:rPr>
                <w:rFonts w:hint="eastAsia" w:ascii="仿宋" w:hAnsi="仿宋" w:eastAsia="仿宋"/>
                <w:b w:val="0"/>
                <w:bCs w:val="0"/>
                <w:color w:val="auto"/>
                <w:szCs w:val="21"/>
                <w:highlight w:val="none"/>
              </w:rPr>
              <w:t>；自动控制装置1台；温度监控、蒸汽流量计量、水流量计量装置；耐酸碱气动泵3台</w:t>
            </w:r>
            <w:r>
              <w:rPr>
                <w:rFonts w:hint="eastAsia" w:ascii="仿宋" w:hAnsi="仿宋" w:eastAsia="仿宋"/>
                <w:b w:val="0"/>
                <w:bCs w:val="0"/>
                <w:color w:val="auto"/>
                <w:szCs w:val="21"/>
                <w:highlight w:val="none"/>
                <w:lang w:eastAsia="zh-CN"/>
              </w:rPr>
              <w:t>、</w:t>
            </w:r>
            <w:r>
              <w:rPr>
                <w:rFonts w:hint="eastAsia" w:ascii="仿宋" w:hAnsi="仿宋" w:eastAsia="仿宋"/>
                <w:b w:val="0"/>
                <w:bCs w:val="0"/>
                <w:color w:val="auto"/>
                <w:szCs w:val="21"/>
                <w:highlight w:val="none"/>
                <w:lang w:val="en-US" w:eastAsia="zh-CN"/>
              </w:rPr>
              <w:t>斜板式不堵塞过滤器3台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highlight w:val="none"/>
              </w:rPr>
            </w:pPr>
            <w:r>
              <w:rPr>
                <w:rFonts w:hint="eastAsia" w:ascii="仿宋" w:hAnsi="仿宋" w:eastAsia="仿宋" w:cs="宋体"/>
                <w:b w:val="0"/>
                <w:bCs w:val="0"/>
                <w:color w:val="auto"/>
                <w:szCs w:val="21"/>
                <w:highlight w:val="none"/>
              </w:rPr>
              <w:t>URS002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ind w:left="12"/>
              <w:jc w:val="left"/>
              <w:rPr>
                <w:rFonts w:ascii="仿宋" w:hAnsi="仿宋" w:eastAsia="仿宋"/>
                <w:b w:val="0"/>
                <w:bCs w:val="0"/>
                <w:color w:val="auto"/>
                <w:sz w:val="21"/>
                <w:szCs w:val="21"/>
                <w:highlight w:val="none"/>
                <w:lang w:val="en-US" w:eastAsia="zh-CN"/>
              </w:rPr>
            </w:pPr>
            <w:r>
              <w:rPr>
                <w:rFonts w:hint="eastAsia" w:ascii="仿宋" w:hAnsi="仿宋" w:eastAsia="仿宋"/>
                <w:b w:val="0"/>
                <w:bCs w:val="0"/>
                <w:color w:val="auto"/>
                <w:sz w:val="21"/>
                <w:szCs w:val="21"/>
                <w:highlight w:val="none"/>
                <w:lang w:val="en-US" w:eastAsia="zh-CN"/>
              </w:rPr>
              <w:t>技术参数：</w:t>
            </w:r>
          </w:p>
          <w:p>
            <w:pPr>
              <w:snapToGrid w:val="0"/>
              <w:spacing w:line="300" w:lineRule="auto"/>
              <w:jc w:val="lef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1、提取物料：中药材。溶媒介质：工艺用水。</w:t>
            </w:r>
          </w:p>
          <w:p>
            <w:pPr>
              <w:snapToGrid w:val="0"/>
              <w:spacing w:line="300" w:lineRule="auto"/>
              <w:jc w:val="lef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2、不锈钢提取罐形状：直筒型</w:t>
            </w:r>
          </w:p>
          <w:p>
            <w:pPr>
              <w:snapToGrid w:val="0"/>
              <w:spacing w:line="300" w:lineRule="auto"/>
              <w:jc w:val="lef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3、 不锈钢提取罐形状：直筒型；提取罐外直径1800mm；提取罐三楼投料口平面至地面不得大于1200mm；二楼层高6600mm，开盖后最低点距离地面不得小于2350mm， 适合现有出渣车使用。底盖开口方向为人面对投料口顺时针方向旋转90度。（见尾页附图）</w:t>
            </w:r>
          </w:p>
          <w:p>
            <w:pPr>
              <w:snapToGrid w:val="0"/>
              <w:spacing w:line="300" w:lineRule="auto"/>
              <w:jc w:val="lef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4、配备清洁功能，自动喷淋装置。</w:t>
            </w:r>
          </w:p>
          <w:p>
            <w:pPr>
              <w:snapToGrid w:val="0"/>
              <w:spacing w:line="300" w:lineRule="auto"/>
              <w:jc w:val="left"/>
              <w:rPr>
                <w:rFonts w:hint="default"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rPr>
              <w:t>5、能够实现酸碱清洗功能，设备耐酸碱。</w:t>
            </w:r>
            <w:r>
              <w:rPr>
                <w:rFonts w:hint="eastAsia" w:ascii="仿宋" w:hAnsi="仿宋" w:eastAsia="仿宋"/>
                <w:b w:val="0"/>
                <w:bCs w:val="0"/>
                <w:color w:val="auto"/>
                <w:szCs w:val="21"/>
                <w:highlight w:val="none"/>
              </w:rPr>
              <w:br w:type="textWrapping"/>
            </w:r>
            <w:r>
              <w:rPr>
                <w:rFonts w:hint="eastAsia" w:ascii="仿宋" w:hAnsi="仿宋" w:eastAsia="仿宋"/>
                <w:b w:val="0"/>
                <w:bCs w:val="0"/>
                <w:color w:val="auto"/>
                <w:szCs w:val="21"/>
                <w:highlight w:val="none"/>
                <w:lang w:val="en-US" w:eastAsia="zh-CN"/>
              </w:rPr>
              <w:t>6、配备斜板式不堵塞过滤器3台</w:t>
            </w:r>
          </w:p>
          <w:p>
            <w:pPr>
              <w:snapToGrid w:val="0"/>
              <w:spacing w:line="300" w:lineRule="auto"/>
              <w:jc w:val="left"/>
              <w:rPr>
                <w:rFonts w:hint="default" w:ascii="仿宋" w:hAnsi="仿宋" w:eastAsia="仿宋"/>
                <w:b w:val="0"/>
                <w:bCs w:val="0"/>
                <w:color w:val="auto"/>
                <w:szCs w:val="21"/>
                <w:highlight w:val="none"/>
                <w:lang w:val="en-US" w:eastAsia="zh-CN"/>
              </w:rPr>
            </w:pPr>
            <w:r>
              <w:rPr>
                <w:rFonts w:hint="eastAsia" w:ascii="仿宋" w:hAnsi="仿宋" w:eastAsia="仿宋"/>
                <w:b w:val="0"/>
                <w:bCs w:val="0"/>
                <w:color w:val="auto"/>
                <w:szCs w:val="21"/>
                <w:highlight w:val="none"/>
                <w:lang w:val="en-US" w:eastAsia="zh-CN"/>
              </w:rPr>
              <w:t>7、带搅拌提取罐应当保证搅拌效果，同时搅拌螺旋桨不影响排渣，不存料。</w:t>
            </w:r>
          </w:p>
          <w:p>
            <w:pPr>
              <w:spacing w:line="360" w:lineRule="auto"/>
              <w:rPr>
                <w:rFonts w:ascii="仿宋" w:hAnsi="仿宋" w:eastAsia="仿宋"/>
                <w:b w:val="0"/>
                <w:bCs w:val="0"/>
                <w:color w:val="auto"/>
                <w:szCs w:val="21"/>
                <w:highlight w:val="none"/>
              </w:rPr>
            </w:pPr>
            <w:r>
              <w:rPr>
                <w:rFonts w:hint="eastAsia" w:ascii="仿宋" w:hAnsi="仿宋" w:eastAsia="仿宋"/>
                <w:b w:val="0"/>
                <w:bCs w:val="0"/>
                <w:color w:val="auto"/>
                <w:szCs w:val="21"/>
                <w:highlight w:val="none"/>
                <w:lang w:val="en-US" w:eastAsia="zh-CN"/>
              </w:rPr>
              <w:t>8</w:t>
            </w:r>
            <w:r>
              <w:rPr>
                <w:rFonts w:hint="eastAsia" w:ascii="仿宋" w:hAnsi="仿宋" w:eastAsia="仿宋"/>
                <w:b w:val="0"/>
                <w:bCs w:val="0"/>
                <w:color w:val="auto"/>
                <w:szCs w:val="21"/>
                <w:highlight w:val="none"/>
              </w:rPr>
              <w:t>、生产单位具有相关压力容器制造和安装资质及质量保证资料，供货商提供现场安装方案和调试方案，提供压力容器监检报告。配合</w:t>
            </w:r>
            <w:r>
              <w:rPr>
                <w:rFonts w:ascii="仿宋" w:hAnsi="仿宋" w:eastAsia="仿宋"/>
                <w:b w:val="0"/>
                <w:bCs w:val="0"/>
                <w:color w:val="auto"/>
                <w:szCs w:val="21"/>
                <w:highlight w:val="none"/>
              </w:rPr>
              <w:t>需方完成</w:t>
            </w:r>
            <w:r>
              <w:rPr>
                <w:rFonts w:hint="eastAsia" w:ascii="仿宋" w:hAnsi="仿宋" w:eastAsia="仿宋"/>
                <w:b w:val="0"/>
                <w:bCs w:val="0"/>
                <w:color w:val="auto"/>
                <w:szCs w:val="21"/>
                <w:highlight w:val="none"/>
              </w:rPr>
              <w:t>特种设备注册</w:t>
            </w:r>
            <w:r>
              <w:rPr>
                <w:rFonts w:ascii="仿宋" w:hAnsi="仿宋" w:eastAsia="仿宋"/>
                <w:b w:val="0"/>
                <w:bCs w:val="0"/>
                <w:color w:val="auto"/>
                <w:szCs w:val="21"/>
                <w:highlight w:val="none"/>
              </w:rPr>
              <w:t>等相关手续及工作</w:t>
            </w:r>
          </w:p>
          <w:p>
            <w:pPr>
              <w:spacing w:line="360" w:lineRule="auto"/>
              <w:rPr>
                <w:rFonts w:ascii="仿宋" w:hAnsi="仿宋" w:eastAsia="仿宋"/>
                <w:b w:val="0"/>
                <w:bCs w:val="0"/>
                <w:color w:val="auto"/>
                <w:szCs w:val="21"/>
                <w:highlight w:val="none"/>
              </w:rPr>
            </w:pPr>
            <w:r>
              <w:rPr>
                <w:rFonts w:hint="eastAsia" w:ascii="仿宋" w:hAnsi="仿宋" w:eastAsia="仿宋"/>
                <w:b w:val="0"/>
                <w:bCs w:val="0"/>
                <w:color w:val="auto"/>
                <w:szCs w:val="21"/>
                <w:highlight w:val="none"/>
                <w:lang w:val="en-US" w:eastAsia="zh-CN"/>
              </w:rPr>
              <w:t>9</w:t>
            </w:r>
            <w:r>
              <w:rPr>
                <w:rFonts w:hint="eastAsia" w:ascii="仿宋" w:hAnsi="仿宋" w:eastAsia="仿宋"/>
                <w:b w:val="0"/>
                <w:bCs w:val="0"/>
                <w:color w:val="auto"/>
                <w:szCs w:val="21"/>
                <w:highlight w:val="none"/>
              </w:rPr>
              <w:t>、供方提供原设备拆除、新设备运输、安装、调试、验证工作，并注明设备安装调试周期及校验时间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483"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工艺方面（工艺过程流程图、产量规格型号、工作环境等）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URS003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提取罐采用集中自控方式，应当配套自控屏，配合自控专业设备，至少预留要求有投料(人孔)、视孔、照明孔、排气口、回流口、压力表口（配合自控）、排空口、放液口（配合自控）、饮用水进口、CIP 接口（配合自控）、温度探头接口（配合自控）及安全泄压口等相关工艺开口。投料口应当预留全自动打开及锁紧的工作方式，自动执行打开及关闭动作，并在关闭后自动锁紧。</w:t>
            </w:r>
          </w:p>
          <w:p>
            <w:pPr>
              <w:snapToGrid w:val="0"/>
              <w:spacing w:line="300" w:lineRule="auto"/>
              <w:jc w:val="left"/>
              <w:rPr>
                <w:rFonts w:ascii="仿宋" w:hAnsi="仿宋" w:eastAsia="仿宋" w:cs="宋体"/>
                <w:b w:val="0"/>
                <w:bCs w:val="0"/>
                <w:color w:val="auto"/>
                <w:szCs w:val="21"/>
              </w:rPr>
            </w:pPr>
            <w:r>
              <w:rPr>
                <w:rFonts w:hint="eastAsia" w:ascii="仿宋" w:hAnsi="仿宋" w:eastAsia="仿宋"/>
                <w:b w:val="0"/>
                <w:bCs w:val="0"/>
                <w:color w:val="auto"/>
                <w:szCs w:val="21"/>
              </w:rPr>
              <w:t>投料口的直径为DN500，提取罐投料口要能够满足自动上料装置的安装使用。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URS004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采用分段夹套加热的方式，整个提取罐底盖覆盖夹套，提取罐筒身夹套分为2~3 段（上段夹套、下段夹套、底盖夹套），这样，一方面，在投料量少时，关闭筒身上段夹套，可以避免干烧，使该提取罐可以适应较少的投料量。另一方面，可以采用更加合理的加热方式，使提取罐加热做到节能、可控、快速，保证药液</w:t>
            </w:r>
            <w:r>
              <w:rPr>
                <w:rFonts w:ascii="仿宋" w:hAnsi="仿宋" w:eastAsia="仿宋"/>
                <w:b w:val="0"/>
                <w:bCs w:val="0"/>
                <w:color w:val="auto"/>
                <w:szCs w:val="21"/>
              </w:rPr>
              <w:t>4</w:t>
            </w:r>
            <w:r>
              <w:rPr>
                <w:rFonts w:hint="eastAsia" w:ascii="仿宋" w:hAnsi="仿宋" w:eastAsia="仿宋"/>
                <w:b w:val="0"/>
                <w:bCs w:val="0"/>
                <w:color w:val="auto"/>
                <w:szCs w:val="21"/>
              </w:rPr>
              <w:t>0</w:t>
            </w:r>
            <w:r>
              <w:rPr>
                <w:rFonts w:ascii="仿宋" w:hAnsi="仿宋" w:eastAsia="仿宋"/>
                <w:b w:val="0"/>
                <w:bCs w:val="0"/>
                <w:color w:val="auto"/>
                <w:szCs w:val="21"/>
              </w:rPr>
              <w:t>-50</w:t>
            </w:r>
            <w:r>
              <w:rPr>
                <w:rFonts w:hint="eastAsia" w:ascii="仿宋" w:hAnsi="仿宋" w:eastAsia="仿宋"/>
                <w:b w:val="0"/>
                <w:bCs w:val="0"/>
                <w:color w:val="auto"/>
                <w:szCs w:val="21"/>
              </w:rPr>
              <w:t>分钟沸腾。</w:t>
            </w:r>
          </w:p>
          <w:p>
            <w:pPr>
              <w:snapToGrid w:val="0"/>
              <w:spacing w:line="300" w:lineRule="auto"/>
              <w:jc w:val="left"/>
              <w:rPr>
                <w:rFonts w:ascii="仿宋" w:hAnsi="仿宋" w:eastAsia="仿宋"/>
                <w:b w:val="0"/>
                <w:bCs w:val="0"/>
                <w:color w:val="auto"/>
                <w:szCs w:val="21"/>
              </w:rPr>
            </w:pPr>
            <w:r>
              <w:rPr>
                <w:rFonts w:hint="eastAsia" w:ascii="仿宋" w:hAnsi="仿宋" w:eastAsia="仿宋" w:cs="仿宋"/>
                <w:b w:val="0"/>
                <w:bCs w:val="0"/>
                <w:color w:val="auto"/>
                <w:szCs w:val="21"/>
              </w:rPr>
              <w:t>􀂾</w:t>
            </w:r>
            <w:r>
              <w:rPr>
                <w:rFonts w:hint="eastAsia" w:ascii="仿宋" w:hAnsi="仿宋" w:eastAsia="仿宋"/>
                <w:b w:val="0"/>
                <w:bCs w:val="0"/>
                <w:color w:val="auto"/>
                <w:szCs w:val="21"/>
              </w:rPr>
              <w:t xml:space="preserve"> 底盖夹套加热的方式应当确保提取罐内各处温度均匀，煎煮透彻，提取罐、中、底部温度表显示温度</w:t>
            </w:r>
            <w:r>
              <w:rPr>
                <w:rFonts w:hint="eastAsia" w:ascii="仿宋" w:hAnsi="仿宋" w:eastAsia="仿宋"/>
                <w:b w:val="0"/>
                <w:bCs w:val="0"/>
                <w:color w:val="auto"/>
                <w:szCs w:val="21"/>
                <w:lang w:val="en-US" w:eastAsia="zh-CN"/>
              </w:rPr>
              <w:t>波动不应过大，各温度计应当精准</w:t>
            </w:r>
            <w:r>
              <w:rPr>
                <w:rFonts w:hint="eastAsia" w:ascii="仿宋" w:hAnsi="仿宋" w:eastAsia="仿宋"/>
                <w:b w:val="0"/>
                <w:bCs w:val="0"/>
                <w:color w:val="auto"/>
                <w:szCs w:val="21"/>
              </w:rPr>
              <w:t>；</w:t>
            </w:r>
          </w:p>
          <w:p>
            <w:pPr>
              <w:snapToGrid w:val="0"/>
              <w:spacing w:line="300" w:lineRule="auto"/>
              <w:jc w:val="left"/>
              <w:rPr>
                <w:rFonts w:ascii="仿宋" w:hAnsi="仿宋" w:eastAsia="仿宋" w:cs="宋体"/>
                <w:b w:val="0"/>
                <w:bCs w:val="0"/>
                <w:color w:val="auto"/>
                <w:szCs w:val="21"/>
              </w:rPr>
            </w:pPr>
            <w:r>
              <w:rPr>
                <w:rFonts w:hint="eastAsia" w:ascii="仿宋" w:hAnsi="仿宋" w:eastAsia="仿宋"/>
                <w:b w:val="0"/>
                <w:bCs w:val="0"/>
                <w:color w:val="auto"/>
                <w:szCs w:val="21"/>
              </w:rPr>
              <w:t>提取罐上段加热、下段加热、底盖加热的蒸汽加热管道应当配有蒸汽计量装置，可以实时监控蒸汽流量，同时可以设置计量一段时间内的蒸汽用量和总蒸汽用量，蒸汽计量装置要在中控系统上体现并且可以直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URS005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 w:hAnsi="仿宋" w:eastAsia="仿宋"/>
                <w:b w:val="0"/>
                <w:bCs w:val="0"/>
                <w:color w:val="auto"/>
                <w:szCs w:val="21"/>
                <w:lang w:val="en-US" w:eastAsia="zh-CN"/>
              </w:rPr>
            </w:pPr>
            <w:r>
              <w:rPr>
                <w:rFonts w:hint="eastAsia" w:ascii="仿宋" w:hAnsi="仿宋" w:eastAsia="仿宋"/>
                <w:b w:val="0"/>
                <w:bCs w:val="0"/>
                <w:color w:val="auto"/>
                <w:szCs w:val="21"/>
              </w:rPr>
              <w:t>提取罐应当有上、中、下部的温度显示，可实时监控</w:t>
            </w:r>
            <w:r>
              <w:rPr>
                <w:rFonts w:hint="eastAsia" w:ascii="仿宋" w:hAnsi="仿宋" w:eastAsia="仿宋"/>
                <w:b w:val="0"/>
                <w:bCs w:val="0"/>
                <w:color w:val="auto"/>
                <w:szCs w:val="21"/>
                <w:lang w:eastAsia="zh-CN"/>
              </w:rPr>
              <w:t>，</w:t>
            </w:r>
            <w:r>
              <w:rPr>
                <w:rFonts w:hint="eastAsia" w:ascii="仿宋" w:hAnsi="仿宋" w:eastAsia="仿宋"/>
                <w:b w:val="0"/>
                <w:bCs w:val="0"/>
                <w:color w:val="auto"/>
                <w:szCs w:val="21"/>
                <w:lang w:val="en-US" w:eastAsia="zh-CN"/>
              </w:rPr>
              <w:t>各温度计应当精准</w:t>
            </w:r>
            <w:r>
              <w:rPr>
                <w:rFonts w:hint="eastAsia" w:ascii="仿宋" w:hAnsi="仿宋" w:eastAsia="仿宋"/>
                <w:b w:val="0"/>
                <w:bCs w:val="0"/>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URS006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提取罐具备加水量的计量，应当可以计量一段时间内的加水量和总加水量，加水量计量装置要在中控系统上体现并且可以直接操作，加水量计量应当精确在10KG以内。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机械方面（设备/设施机械部分系统图、配套公用设施、材质要求、表面处理、电器设备/设施布局图等）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URS007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设备易于清洁，清洁彻底，管道无死角，符合GMP清洁要求。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URS008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罐体材质：优质sus304 不锈钢，材质成分、厚度要求按国标标准（GB/T3280-2007）；附材质证明文件。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URS009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设备整体设计符合新版GMP 相关规范，避免交叉污染、泄漏污染、异物脱落、局部温升对药品质量的影响。与药品直接接触（包括密封，螺丝，垫片等）的金属部分材质均采用要求的sus304，非金属部件采用聚四氟乙烯、硅橡胶等GMP 认可的无毒材料；其它部件尽可能采用不锈钢材质，严防生锈。特别注意设备加工问题对药品内在质量的影响：传动轴密封时确保不会因润滑油泄露，对物料造成污染；密封材料使用耐高温、耐酸碱腐蚀、不易脱落、符合新版GMP 要求的材质；提供相应的证明材料。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URS010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设备内表面（与物料接触部分）机械抛光，表面粗糙度≤0.45μm, 材质为sus304，厚度：≥8mm；提取罐在出厂前买方到卖方工厂进行FAT，并对内表面粗糙度进行现场测量，合格后方可出厂。附粗糙度证明文件。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URS011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内部无死角，便于清洁、拆卸与维修，内表面光滑、整洁、美观，过渡处有倒角和圆角处理，不得有明显的凸瘤、凹陷、毛刺、划痕、碰伤和锈蚀现象；各金属焊缝或焊点应做抛光、钝化处理，焊接表面应均匀、完整，不得有疤痕、夹渣及气孔等现象，并需充分考虑工期内设备应力的消除。设备材质及光洁度要求满足新版GMP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URS012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设备外表面采用喷砂或亚光处理。投标方在投标时提供喷砂和亚光处理的样板，验收时以样板为验收标准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URS013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保温外壳厚度：≥3mm；封头厚度：＞6mm，机械抛光精度：R a≤ 0.8μm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URS014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夹套材质采用不锈钢sus304，可采用空腔整体夹套或蜂窝夹套；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URS015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设备外保温与法兰连接处在试压后将法兰割掉、安装外保温后再焊接法兰，以保证外保护层的美观。</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提取罐外保温材料，具有耐高温抗老化、保温时效长的功能；保温层厚度为50mm，保温材料应是不含纤维，不含石棉的材料；罐正常加热操作时外表面温度不超过35℃。</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提取罐外保温材料应当将需保温部分全部包裹，特别是蒸汽阀门等部位。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URS016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应采用双气缸开关提取罐底盖的方式来保证开关盖动作的平稳。开合底盖速度可控，且开合底盖过程必须平稳，即提取罐任何工况下不得产生明显晃动；特别是出渣时底盖打开不能受药渣重力作用失控。提取罐底盖应有自锁装置，断电、压缩空气设备停气时锁紧装置仍起作用，保证无料液泄出，杜绝安全隐患，底盖应保证不变形。</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提取罐底盖应当有防呆防错装置，锁紧未开启到达指定位置时，不能打开和关闭底盖，防止误操作损坏设备。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URS017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提取罐底盖有过滤装置，过滤目数相当于中国药典80 目，过滤网的选型能够有效的防止罐底盖堵塞，以免影响出液。设备要有辅助方式消除罐底盖堵塞的情况，例如采用压缩空气反吹的方式。出液后的药渣要求做到不滴水排放。</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提取溶媒在3m</w:t>
            </w:r>
            <w:r>
              <w:rPr>
                <w:rFonts w:ascii="Calibri" w:hAnsi="Calibri" w:eastAsia="仿宋" w:cs="Calibri"/>
                <w:b w:val="0"/>
                <w:bCs w:val="0"/>
                <w:color w:val="auto"/>
                <w:szCs w:val="21"/>
              </w:rPr>
              <w:t>³</w:t>
            </w:r>
            <w:r>
              <w:rPr>
                <w:rFonts w:hint="eastAsia" w:ascii="仿宋" w:hAnsi="仿宋" w:eastAsia="仿宋"/>
                <w:b w:val="0"/>
                <w:bCs w:val="0"/>
                <w:color w:val="auto"/>
                <w:szCs w:val="21"/>
              </w:rPr>
              <w:t>-4m</w:t>
            </w:r>
            <w:r>
              <w:rPr>
                <w:rFonts w:ascii="Calibri" w:hAnsi="Calibri" w:eastAsia="仿宋" w:cs="Calibri"/>
                <w:b w:val="0"/>
                <w:bCs w:val="0"/>
                <w:color w:val="auto"/>
                <w:szCs w:val="21"/>
              </w:rPr>
              <w:t>³</w:t>
            </w:r>
            <w:r>
              <w:rPr>
                <w:rFonts w:hint="eastAsia" w:ascii="仿宋" w:hAnsi="仿宋" w:eastAsia="仿宋" w:cs="仿宋"/>
                <w:b w:val="0"/>
                <w:bCs w:val="0"/>
                <w:color w:val="auto"/>
                <w:szCs w:val="21"/>
              </w:rPr>
              <w:t>时，出液的过程要求在</w:t>
            </w:r>
            <w:r>
              <w:rPr>
                <w:rFonts w:hint="eastAsia" w:ascii="仿宋" w:hAnsi="仿宋" w:eastAsia="仿宋"/>
                <w:b w:val="0"/>
                <w:bCs w:val="0"/>
                <w:color w:val="auto"/>
                <w:szCs w:val="21"/>
              </w:rPr>
              <w:t>30 分钟内完成。（需采用先进的出料方式，保证药液出料无残留）。</w:t>
            </w:r>
          </w:p>
          <w:p>
            <w:pPr>
              <w:snapToGrid w:val="0"/>
              <w:spacing w:line="300" w:lineRule="auto"/>
              <w:jc w:val="left"/>
              <w:rPr>
                <w:rFonts w:hint="default" w:ascii="仿宋" w:hAnsi="仿宋" w:eastAsia="仿宋"/>
                <w:b w:val="0"/>
                <w:bCs w:val="0"/>
                <w:color w:val="auto"/>
                <w:szCs w:val="21"/>
                <w:lang w:val="en-US" w:eastAsia="zh-CN"/>
              </w:rPr>
            </w:pPr>
            <w:r>
              <w:rPr>
                <w:rFonts w:hint="eastAsia" w:ascii="仿宋" w:hAnsi="仿宋" w:eastAsia="仿宋"/>
                <w:b w:val="0"/>
                <w:bCs w:val="0"/>
                <w:color w:val="auto"/>
                <w:szCs w:val="21"/>
              </w:rPr>
              <w:t>提取罐应当配备启动出液泵，耐酸碱，能够进行循环清洁罐内壁</w:t>
            </w:r>
            <w:r>
              <w:rPr>
                <w:rFonts w:hint="eastAsia" w:ascii="仿宋" w:hAnsi="仿宋" w:eastAsia="仿宋"/>
                <w:b w:val="0"/>
                <w:bCs w:val="0"/>
                <w:color w:val="auto"/>
                <w:szCs w:val="21"/>
                <w:lang w:eastAsia="zh-CN"/>
              </w:rPr>
              <w:t>，</w:t>
            </w:r>
            <w:r>
              <w:rPr>
                <w:rFonts w:hint="eastAsia" w:ascii="仿宋" w:hAnsi="仿宋" w:eastAsia="仿宋"/>
                <w:b w:val="0"/>
                <w:bCs w:val="0"/>
                <w:color w:val="auto"/>
                <w:szCs w:val="21"/>
                <w:lang w:val="en-US" w:eastAsia="zh-CN"/>
              </w:rPr>
              <w:t>应当配备喷淋清洗球。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URS018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提取罐底盖过滤网的设计需考虑方便排渣后的清洗和更换方便，应能方便的打开以便清洗底盖筛板下方的空间。底盖过滤网表面不能粘附药渣。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URS019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排渣完成后应能够通过CIP 清洗清理提取罐底盖，应保证无药渣等异物残留，且不影响罐底盖的闭合。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kern w:val="2"/>
                <w:sz w:val="21"/>
                <w:szCs w:val="21"/>
                <w:lang w:val="en-US" w:eastAsia="zh-CN" w:bidi="ar-SA"/>
              </w:rPr>
            </w:pPr>
            <w:r>
              <w:rPr>
                <w:rFonts w:hint="eastAsia" w:ascii="仿宋" w:hAnsi="仿宋" w:eastAsia="仿宋" w:cs="宋体"/>
                <w:color w:val="000000"/>
                <w:szCs w:val="21"/>
              </w:rPr>
              <w:t>URS020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 w:hAnsi="仿宋" w:eastAsia="仿宋"/>
                <w:color w:val="000000"/>
                <w:szCs w:val="21"/>
              </w:rPr>
            </w:pPr>
            <w:r>
              <w:rPr>
                <w:rFonts w:hint="eastAsia" w:ascii="仿宋" w:hAnsi="仿宋" w:eastAsia="仿宋"/>
                <w:color w:val="000000"/>
                <w:szCs w:val="21"/>
              </w:rPr>
              <w:t>提取罐应配套中控系统，包括设置在现场的提取罐开关盖控制柜，用于开启、关闭、锁紧提取罐底盖，并给出提取罐底盖的状态信号，表明提取罐盖是处于打开到位状态或关闭到位状态，可将这些状态信号传递给中控系统。也包括自控投料口的自动开关控制，同样，接收一个来自中控系统的开盖信号，可以实现锁紧装置自动打开到位后，打开投料口盖；接收一个来自中控系统的关盖信号，可以自动关闭投料口盖到位后，锁紧装置自动锁紧到位；锁紧装置和投料口盖的位置状态信号也都传递给中控系统。</w:t>
            </w:r>
          </w:p>
          <w:p>
            <w:pPr>
              <w:snapToGrid w:val="0"/>
              <w:spacing w:line="300" w:lineRule="auto"/>
              <w:jc w:val="left"/>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设备自控系统应当与本公司当前现有6台直筒式提取罐操作系统进行一体化整合，统一到一套操作系统上，并在一台自控屏上进行操作。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具备手自动切换功能，手动自动都具备防误操作功能，可以在开/关盖操作柜上通过按钮/旋钮进行开、关盖操作，也可以通过中控信号来执行开关提取罐盖操作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当控制系统判断提取罐可以打开底盖，一个开盖信号可完成打开锁紧装置，自动判断锁紧装置打开到位后执行开盖动作并开盖到位；当控制系统接到信号可以执行提取罐盖关闭动作，一个关盖信号可以完成关盖，自动判断关盖到位后，执行锁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为便于清洗提取罐底盖和在开关盖时更加安全，要求通过提取罐控制柜控制，提取罐底盖可停止在全开和全关之间的任一位置。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开关/锁紧控制柜能保证提取罐安全可靠，具有充分的安全连锁功能，罐底排放阀不打开时，罐盖不能打开（防止罐内有料时进行开盖操作）；罐盖关闭不到位时，锁紧装置不动作；锁紧装置不打开到位，不执行开盖动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提取罐底盖要能够和渣车具备连锁功能，应当有避免提取罐底盖与渣车发成碰撞的装置。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设计压力：罐体：常压；夹套：＜0.3Mpa；</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工作压力：罐体：常压；夹套：＜0.25Mpa；为保证提取罐底盖和投料口的密闭性，提取罐内部整体需能耐受0.095Mpa 打压试验（小于0.1MPa 的打压实验）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设计温度：罐体：100°C；夹套：150°C；</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工作温度：罐体：＜100°C；夹套：＜140°C；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提取罐底盖须满布夹套，实现底部加热，提取罐筒身夹套须至少分为两段，以适应一、二、三煎不同的加水量，避免提取罐内的干烧。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URS029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罐体整体保温；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保温材料：采用≥150kg/m</w:t>
            </w:r>
            <w:r>
              <w:rPr>
                <w:rFonts w:ascii="Calibri" w:hAnsi="Calibri" w:eastAsia="仿宋" w:cs="Calibri"/>
                <w:b w:val="0"/>
                <w:bCs w:val="0"/>
                <w:color w:val="auto"/>
                <w:szCs w:val="21"/>
              </w:rPr>
              <w:t>³</w:t>
            </w:r>
            <w:r>
              <w:rPr>
                <w:rFonts w:hint="eastAsia" w:ascii="仿宋" w:hAnsi="仿宋" w:eastAsia="仿宋" w:cs="仿宋"/>
                <w:b w:val="0"/>
                <w:bCs w:val="0"/>
                <w:color w:val="auto"/>
                <w:szCs w:val="21"/>
              </w:rPr>
              <w:t>容重的岩棉；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保温层厚度：≥50mm；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保温效果应确保设备正常生产时外壳与环境温差不超过5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设计温度：罐体：100°C；夹套：150°C；</w:t>
            </w:r>
          </w:p>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工作温度：罐体：＜100°C；夹套：＜140°C；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提取罐底盖须满布夹套，实现底部加热，提取罐筒身夹套须至少分为两段，以适应一、二、三煎不同的加水量，避免提取罐内的干烧。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罐体整体保温；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highlight w:val="none"/>
              </w:rPr>
            </w:pPr>
            <w:r>
              <w:rPr>
                <w:rFonts w:hint="eastAsia" w:ascii="仿宋" w:hAnsi="仿宋" w:eastAsia="仿宋" w:cs="宋体"/>
                <w:b w:val="0"/>
                <w:bCs w:val="0"/>
                <w:color w:val="auto"/>
                <w:szCs w:val="21"/>
                <w:highlight w:val="none"/>
              </w:rPr>
              <w:t>URS036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保温材料：采用≥150kg/m</w:t>
            </w:r>
            <w:r>
              <w:rPr>
                <w:rFonts w:ascii="Calibri" w:hAnsi="Calibri" w:eastAsia="仿宋" w:cs="Calibri"/>
                <w:b w:val="0"/>
                <w:bCs w:val="0"/>
                <w:color w:val="auto"/>
                <w:szCs w:val="21"/>
                <w:highlight w:val="none"/>
              </w:rPr>
              <w:t>³</w:t>
            </w:r>
            <w:r>
              <w:rPr>
                <w:rFonts w:hint="eastAsia" w:ascii="仿宋" w:hAnsi="仿宋" w:eastAsia="仿宋"/>
                <w:b w:val="0"/>
                <w:bCs w:val="0"/>
                <w:color w:val="auto"/>
                <w:szCs w:val="21"/>
                <w:highlight w:val="none"/>
              </w:rPr>
              <w:t>要容重硅酸铝；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保温层厚度：≥50mm；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保温效果应确保设备正常生产时外壳与环境温差不超过5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URS039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配备高效丝网式除沫器，能够高效阻挡和消除煎煮沸腾时产生的泡沫，材质满足新版GMP 药品规范。（自控控制泡沫需要与自控系统配合实现，通过加热控制和罐内压力控制可以避免泡沫的产生）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材质为：sus304 不锈钢，厚度：＞2mm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出气口直径：≥DN150(快装方式安装）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顶部设置快装盖，以便于拆卸消泡件构，内置消泡件构易于拆卸和清洗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管口为快装方式（其中蒸汽、冷凝水、冷却水等公用工程接口可采用法兰连接方式）；蒸汽进口和冷凝水出口由设备制造商根据夹套面积和蒸汽的最大耗量设计选定，多段夹套时，可设计不同直径的蒸汽进口和冷凝水出口；料液进口：50mm；料液出口：65mm（为更加快速和顺畅的出料，应增大出料液口的尺寸）；排汽口：≥150mm，投料口：=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视镜采用带刮板型视镜，采用卡箍连接方式，视镜直径≥DN120mm；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底盖采用可靠的锁紧装置，可以自锁，在停电和停气的情况下，仍能保证可靠密封。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配备提取罐各段夹套的疏水阀，疏水阀后的排放管路汇总。疏水阀的选型要保证足够的排水能力，需选择具备自动排空气装置的疏水阀。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提取罐各管道应当设计合理，溶媒出净后无残留情况，清洁结束后各部位无残留情况。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设备正常使用条件下使用寿命：＞15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自动控制方面（安全报警、运行参数、与设备的接口、技术系统要求等）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URS049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控制柜、操作箱、操作按钮需耐高温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URS050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关键部件采用国内外知名品牌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URS051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气动元件区采用国外知名品牌，控制面板具备三级权限，具备存储功能，记录关键工艺参数，并可以导出。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URS052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设备应有过载保护、漏电保护装置，当设备功能失调或者故障的情况下，必须配备必要的保护措施保证设备和产品仍然处于安全状态。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URS053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电气系统的安全性能应符合相应的国家标准。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功能要求和质量标准（设备需达到的性能功能的需求和相应的质量标准等尽量数字化）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URS054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供方应提供可通过最新版GMP认证审核的标准文件。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URS055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提供文件清单，所有文件资料需提供纸质与电子版各两份，电子版能修改。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URS056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供方提供设备使用说明书及保养说明书。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URS057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各电气控制程序提供一份备件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技术规范的要求（与工艺设备相关的法律法规和合规性，备品备件、易耗品、计量仪器、噪音水平等）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URS058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设备应当标注易损件清单。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URS059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设备要低噪音。（标明声音分贝）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URS060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温度、压力表、流量计、探头等仪器仪表清单和相关校验报告或计量合格证书。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文件要求（图纸清单、数据清单、备品备件清单、使用和维护手册清单、验证方案和验证报告清单、证明文件清单等）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b w:val="0"/>
                <w:bCs w:val="0"/>
                <w:color w:val="auto"/>
                <w:szCs w:val="21"/>
              </w:rPr>
              <w:t>要求电气线缆均有标号，并有详细的电气图纸。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须提供文件清单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关键元配件的使用说明书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须提供机器操作保养手册或说明书、故障排除说明书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质保期满后供应商应提供硬件和软件文件拷贝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须提供电路控制线路图(电路之配线以符号标明于接在线以便核查)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须协助用户编写确认文件，并与用户共同完成验证确认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供货、现场安装及售后服务要求（应提供项目完善的资料档案、测试的要求，验证文件、现场操作和维护保养的培训，清洗消毒要求等）</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00000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sz w:val="21"/>
                <w:szCs w:val="21"/>
                <w:lang w:val="en-GB" w:eastAsia="zh-CN"/>
              </w:rPr>
              <w:t>货物包装须应适于长途运输，以确保货物安全运抵现场。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URS069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b w:val="0"/>
                <w:bCs w:val="0"/>
                <w:color w:val="auto"/>
                <w:szCs w:val="21"/>
              </w:rPr>
            </w:pPr>
            <w:r>
              <w:rPr>
                <w:rFonts w:hint="eastAsia" w:ascii="仿宋" w:hAnsi="仿宋" w:eastAsia="仿宋"/>
                <w:b w:val="0"/>
                <w:bCs w:val="0"/>
                <w:color w:val="auto"/>
                <w:szCs w:val="21"/>
              </w:rPr>
              <w:t>运输时间包含在供货周期内，供方负责运输，并承担运输费用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URS070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b w:val="0"/>
                <w:bCs w:val="0"/>
                <w:color w:val="auto"/>
                <w:szCs w:val="21"/>
              </w:rPr>
            </w:pPr>
            <w:r>
              <w:rPr>
                <w:rFonts w:hint="eastAsia" w:ascii="仿宋" w:hAnsi="仿宋" w:eastAsia="仿宋"/>
                <w:b w:val="0"/>
                <w:bCs w:val="0"/>
                <w:color w:val="auto"/>
                <w:szCs w:val="21"/>
              </w:rPr>
              <w:t>机器到货清单必须详列每装箱内容物。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URS071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b w:val="0"/>
                <w:bCs w:val="0"/>
                <w:color w:val="auto"/>
                <w:szCs w:val="21"/>
              </w:rPr>
            </w:pPr>
            <w:r>
              <w:rPr>
                <w:rFonts w:hint="eastAsia" w:ascii="仿宋" w:hAnsi="仿宋" w:eastAsia="仿宋"/>
                <w:b w:val="0"/>
                <w:bCs w:val="0"/>
                <w:color w:val="auto"/>
                <w:szCs w:val="21"/>
              </w:rPr>
              <w:t>机器到需方工厂后由需方负责卸车、吊装搬运就位（这个应是供方负责）。供方负责安装调试。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URS072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b w:val="0"/>
                <w:bCs w:val="0"/>
                <w:color w:val="auto"/>
                <w:szCs w:val="21"/>
              </w:rPr>
            </w:pPr>
            <w:r>
              <w:rPr>
                <w:rFonts w:hint="eastAsia" w:ascii="仿宋" w:hAnsi="仿宋" w:eastAsia="仿宋"/>
                <w:b w:val="0"/>
                <w:bCs w:val="0"/>
                <w:color w:val="auto"/>
                <w:szCs w:val="21"/>
              </w:rPr>
              <w:t>设备安装定位由供方负责。设备部件之间的安装和连接由供方全权负责，需方派人员协助开展工作。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URS073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b w:val="0"/>
                <w:bCs w:val="0"/>
                <w:color w:val="auto"/>
                <w:sz w:val="21"/>
                <w:szCs w:val="21"/>
                <w:lang w:eastAsia="zh-CN"/>
              </w:rPr>
            </w:pPr>
            <w:r>
              <w:rPr>
                <w:rFonts w:hint="eastAsia" w:ascii="仿宋" w:hAnsi="仿宋" w:eastAsia="仿宋"/>
                <w:b w:val="0"/>
                <w:bCs w:val="0"/>
                <w:color w:val="auto"/>
                <w:sz w:val="21"/>
                <w:szCs w:val="21"/>
                <w:lang w:val="en-US" w:eastAsia="zh-CN"/>
              </w:rPr>
              <w:t>安装环境为非洁净区。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URS074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应提供设备的外形尺寸图及设备的安装布置图。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URS075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设备周围应有足够的操作和维修空间，便于对设备进行操作和维修。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URS076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供应商应标明公用系统（电、气等）接口位置及参数。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URS077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提供设备详细所需动力系统和厂房设施配套要求，并协助用户完成安装施工图设计。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URS078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仿宋" w:hAnsi="仿宋" w:eastAsia="仿宋"/>
                <w:b w:val="0"/>
                <w:bCs w:val="0"/>
                <w:color w:val="auto"/>
                <w:kern w:val="2"/>
                <w:sz w:val="21"/>
                <w:szCs w:val="21"/>
                <w:lang w:val="en-GB" w:eastAsia="zh-CN"/>
              </w:rPr>
            </w:pPr>
            <w:r>
              <w:rPr>
                <w:rFonts w:hint="eastAsia" w:ascii="仿宋" w:hAnsi="仿宋" w:eastAsia="仿宋"/>
                <w:b w:val="0"/>
                <w:bCs w:val="0"/>
                <w:color w:val="auto"/>
                <w:kern w:val="2"/>
                <w:sz w:val="21"/>
                <w:szCs w:val="21"/>
                <w:lang w:val="en-GB" w:eastAsia="zh-CN"/>
              </w:rPr>
              <w:t>1、终验收在买方工厂进行，卖方负责在买方现场安装、调试设备，并对操作、维修等人员进行技术培训。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URS079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供应商进厂施工需遵守我方施工规则施工。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URS080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仿宋" w:hAnsi="仿宋" w:eastAsia="仿宋"/>
                <w:b w:val="0"/>
                <w:bCs w:val="0"/>
                <w:color w:val="auto"/>
                <w:kern w:val="2"/>
                <w:sz w:val="21"/>
                <w:szCs w:val="21"/>
                <w:lang w:eastAsia="zh-CN"/>
              </w:rPr>
            </w:pPr>
            <w:r>
              <w:rPr>
                <w:rFonts w:hint="eastAsia" w:ascii="仿宋" w:hAnsi="仿宋" w:eastAsia="仿宋"/>
                <w:b w:val="0"/>
                <w:bCs w:val="0"/>
                <w:color w:val="auto"/>
                <w:sz w:val="21"/>
                <w:szCs w:val="21"/>
                <w:lang w:eastAsia="zh-CN"/>
              </w:rPr>
              <w:t>负责对技术管理人员、操作人员、维修人员进行结构原理、性能、操作、维修、故障排除等基本知识的培训，使我公司各专业人员达到一定熟练程度，由双方人员认可，费用由供应商自理。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URS081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rPr>
            </w:pPr>
            <w:r>
              <w:rPr>
                <w:rFonts w:hint="eastAsia" w:ascii="仿宋" w:hAnsi="仿宋" w:eastAsia="仿宋"/>
                <w:b w:val="0"/>
                <w:bCs w:val="0"/>
                <w:color w:val="auto"/>
                <w:szCs w:val="21"/>
                <w:lang w:val="en-GB"/>
              </w:rPr>
              <w:t>本机保修期限1年,有效日为安装试车完成验收日起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URS082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lang w:val="en-GB"/>
              </w:rPr>
            </w:pPr>
            <w:r>
              <w:rPr>
                <w:rFonts w:hint="eastAsia" w:ascii="仿宋" w:hAnsi="仿宋" w:eastAsia="仿宋"/>
                <w:b w:val="0"/>
                <w:bCs w:val="0"/>
                <w:color w:val="auto"/>
                <w:szCs w:val="21"/>
              </w:rPr>
              <w:t>设备供应商负责所有技术指导、电话咨询及人员培训，包括：操作、设备维护、设备性能及问题解答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URS083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lang w:val="en-GB"/>
              </w:rPr>
            </w:pPr>
            <w:r>
              <w:rPr>
                <w:rFonts w:hint="eastAsia" w:ascii="仿宋" w:hAnsi="仿宋" w:eastAsia="仿宋"/>
                <w:b w:val="0"/>
                <w:bCs w:val="0"/>
                <w:color w:val="auto"/>
                <w:szCs w:val="21"/>
              </w:rPr>
              <w:t>厂家负责设备终身维修和备件提供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00" w:firstLineChars="100"/>
              <w:jc w:val="center"/>
              <w:rPr>
                <w:rFonts w:ascii="仿宋" w:hAnsi="仿宋" w:eastAsia="仿宋" w:cs="宋体"/>
                <w:b w:val="0"/>
                <w:bCs w:val="0"/>
                <w:color w:val="auto"/>
                <w:szCs w:val="21"/>
              </w:rPr>
            </w:pPr>
            <w:r>
              <w:rPr>
                <w:rFonts w:hint="eastAsia" w:ascii="仿宋" w:hAnsi="仿宋" w:eastAsia="仿宋" w:cs="宋体"/>
                <w:b w:val="0"/>
                <w:bCs w:val="0"/>
                <w:color w:val="auto"/>
                <w:szCs w:val="21"/>
              </w:rPr>
              <w:t>URS084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b w:val="0"/>
                <w:bCs w:val="0"/>
                <w:color w:val="auto"/>
                <w:szCs w:val="21"/>
              </w:rPr>
            </w:pPr>
            <w:r>
              <w:rPr>
                <w:rFonts w:hint="eastAsia" w:ascii="仿宋" w:hAnsi="仿宋" w:eastAsia="仿宋"/>
                <w:b w:val="0"/>
                <w:bCs w:val="0"/>
                <w:color w:val="auto"/>
                <w:szCs w:val="21"/>
              </w:rPr>
              <w:t>供方提供设备安装、调试、验证工作，并注明设备安装调试周期及校验时间；提供安装确认方案（IQ）、</w:t>
            </w:r>
            <w:r>
              <w:rPr>
                <w:rFonts w:ascii="仿宋" w:hAnsi="仿宋" w:eastAsia="仿宋"/>
                <w:b w:val="0"/>
                <w:bCs w:val="0"/>
                <w:color w:val="auto"/>
                <w:szCs w:val="21"/>
              </w:rPr>
              <w:t>运行</w:t>
            </w:r>
            <w:r>
              <w:rPr>
                <w:rFonts w:hint="eastAsia" w:ascii="仿宋" w:hAnsi="仿宋" w:eastAsia="仿宋"/>
                <w:b w:val="0"/>
                <w:bCs w:val="0"/>
                <w:color w:val="auto"/>
                <w:szCs w:val="21"/>
              </w:rPr>
              <w:t>确认方案（</w:t>
            </w:r>
            <w:r>
              <w:rPr>
                <w:rFonts w:ascii="仿宋" w:hAnsi="仿宋" w:eastAsia="仿宋"/>
                <w:b w:val="0"/>
                <w:bCs w:val="0"/>
                <w:color w:val="auto"/>
                <w:szCs w:val="21"/>
              </w:rPr>
              <w:t>O</w:t>
            </w:r>
            <w:r>
              <w:rPr>
                <w:rFonts w:hint="eastAsia" w:ascii="仿宋" w:hAnsi="仿宋" w:eastAsia="仿宋"/>
                <w:b w:val="0"/>
                <w:bCs w:val="0"/>
                <w:color w:val="auto"/>
                <w:szCs w:val="21"/>
              </w:rPr>
              <w:t>Q）、性能确认方案（</w:t>
            </w:r>
            <w:r>
              <w:rPr>
                <w:rFonts w:ascii="仿宋" w:hAnsi="仿宋" w:eastAsia="仿宋"/>
                <w:b w:val="0"/>
                <w:bCs w:val="0"/>
                <w:color w:val="auto"/>
                <w:szCs w:val="21"/>
              </w:rPr>
              <w:t>P</w:t>
            </w:r>
            <w:r>
              <w:rPr>
                <w:rFonts w:hint="eastAsia" w:ascii="仿宋" w:hAnsi="仿宋" w:eastAsia="仿宋"/>
                <w:b w:val="0"/>
                <w:bCs w:val="0"/>
                <w:color w:val="auto"/>
                <w:szCs w:val="21"/>
              </w:rPr>
              <w:t>Q），并协助完成确认。</w:t>
            </w:r>
          </w:p>
          <w:p>
            <w:pPr>
              <w:rPr>
                <w:rFonts w:ascii="仿宋" w:hAnsi="仿宋" w:eastAsia="仿宋"/>
                <w:b w:val="0"/>
                <w:bCs w:val="0"/>
                <w:color w:val="auto"/>
                <w:szCs w:val="21"/>
              </w:rPr>
            </w:pPr>
            <w:r>
              <w:rPr>
                <w:rFonts w:hint="eastAsia" w:ascii="仿宋" w:hAnsi="仿宋" w:eastAsia="仿宋"/>
                <w:b w:val="0"/>
                <w:bCs w:val="0"/>
                <w:color w:val="auto"/>
                <w:szCs w:val="21"/>
              </w:rPr>
              <w:t>本机使用之两年内已损坏备品零件一套。机器试车后于保修期限内其消耗品或电子零件故障需由供应商负责免费供应修缮或更换。且维修需要在2天内到现场。维修期限内供应商每年至现场免费检修一次。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b w:val="0"/>
                <w:bCs w:val="0"/>
                <w:color w:val="auto"/>
                <w:szCs w:val="21"/>
              </w:rPr>
            </w:pPr>
            <w:r>
              <w:rPr>
                <w:rFonts w:hint="eastAsia" w:ascii="仿宋" w:hAnsi="仿宋" w:eastAsia="仿宋" w:cs="宋体"/>
                <w:b w:val="0"/>
                <w:bCs w:val="0"/>
                <w:color w:val="auto"/>
                <w:szCs w:val="21"/>
              </w:rPr>
              <w:t>对工艺设备购置合同的信息要求（工艺流程图/安装操作图，设备部件规格，标有设备部件位置和主要尺寸的布局图，材料的标准和处理标准，主要部件的尺寸和质量等）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URS085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rPr>
            </w:pPr>
            <w:r>
              <w:rPr>
                <w:rFonts w:hint="eastAsia" w:ascii="仿宋" w:hAnsi="仿宋" w:eastAsia="仿宋"/>
                <w:b w:val="0"/>
                <w:bCs w:val="0"/>
                <w:color w:val="auto"/>
                <w:szCs w:val="21"/>
              </w:rPr>
              <w:t>供应商具有生产此类设备的资质。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URS086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rPr>
            </w:pPr>
            <w:r>
              <w:rPr>
                <w:rFonts w:hint="eastAsia" w:ascii="仿宋" w:hAnsi="仿宋" w:eastAsia="仿宋"/>
                <w:b w:val="0"/>
                <w:bCs w:val="0"/>
                <w:color w:val="auto"/>
                <w:szCs w:val="21"/>
              </w:rPr>
              <w:t>供应商提供安装、调试、培训等技术支持。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URS087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rPr>
            </w:pPr>
            <w:r>
              <w:rPr>
                <w:rFonts w:hint="eastAsia" w:ascii="仿宋" w:hAnsi="仿宋" w:eastAsia="仿宋"/>
                <w:b w:val="0"/>
                <w:bCs w:val="0"/>
                <w:color w:val="auto"/>
                <w:szCs w:val="21"/>
              </w:rPr>
              <w:t>拥有同类设备的厂家对供应商的反映良好。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b w:val="0"/>
                <w:bCs w:val="0"/>
                <w:color w:val="auto"/>
                <w:szCs w:val="21"/>
              </w:rPr>
            </w:pPr>
            <w:r>
              <w:rPr>
                <w:rFonts w:hint="eastAsia" w:ascii="仿宋" w:hAnsi="仿宋" w:eastAsia="仿宋" w:cs="宋体"/>
                <w:b w:val="0"/>
                <w:bCs w:val="0"/>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URS088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本规格表中基本规格内容，技术数据及参考文件等各大项中所提及各项要求供应商提供资料，若有任何问题应于契约订定前先知会我方，在合约上说明，否则各项均列入设备到货验收时之依据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URS089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供应商在报价中需要将所有需要提供的辅助设施（如：水、电、蒸汽、压缩空气、支架等）列举清楚。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URS090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本URS作为合同的补充条款，作为到货验收的依据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rPr>
            </w:pPr>
            <w:r>
              <w:rPr>
                <w:rFonts w:hint="eastAsia" w:ascii="仿宋" w:hAnsi="仿宋" w:eastAsia="仿宋" w:cs="宋体"/>
                <w:b w:val="0"/>
                <w:bCs w:val="0"/>
                <w:color w:val="auto"/>
                <w:szCs w:val="21"/>
              </w:rPr>
              <w:t xml:space="preserve"> URS091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b w:val="0"/>
                <w:bCs w:val="0"/>
                <w:color w:val="auto"/>
                <w:kern w:val="2"/>
                <w:sz w:val="21"/>
                <w:szCs w:val="21"/>
                <w:lang w:eastAsia="zh-CN"/>
              </w:rPr>
            </w:pPr>
            <w:r>
              <w:rPr>
                <w:rFonts w:hint="eastAsia" w:ascii="仿宋" w:hAnsi="仿宋" w:eastAsia="仿宋"/>
                <w:b w:val="0"/>
                <w:bCs w:val="0"/>
                <w:color w:val="auto"/>
                <w:kern w:val="2"/>
                <w:sz w:val="21"/>
                <w:szCs w:val="21"/>
                <w:lang w:eastAsia="zh-CN"/>
              </w:rPr>
              <w:t>供应商对URS中的项目要求条款予以确认，有偏离的做对应的详细说明。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highlight w:val="none"/>
              </w:rPr>
            </w:pPr>
            <w:r>
              <w:rPr>
                <w:rFonts w:hint="eastAsia" w:ascii="仿宋" w:hAnsi="仿宋" w:eastAsia="仿宋" w:cs="宋体"/>
                <w:b w:val="0"/>
                <w:bCs w:val="0"/>
                <w:color w:val="auto"/>
                <w:szCs w:val="21"/>
                <w:highlight w:val="none"/>
              </w:rPr>
              <w:t>URS09</w:t>
            </w:r>
            <w:r>
              <w:rPr>
                <w:rFonts w:ascii="仿宋" w:hAnsi="仿宋" w:eastAsia="仿宋" w:cs="宋体"/>
                <w:b w:val="0"/>
                <w:bCs w:val="0"/>
                <w:color w:val="auto"/>
                <w:szCs w:val="21"/>
                <w:highlight w:val="none"/>
              </w:rPr>
              <w:t>2</w:t>
            </w:r>
          </w:p>
        </w:tc>
        <w:tc>
          <w:tcPr>
            <w:tcW w:w="7371"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供应商</w:t>
            </w:r>
            <w:r>
              <w:rPr>
                <w:rFonts w:ascii="仿宋" w:hAnsi="仿宋" w:eastAsia="仿宋"/>
                <w:b w:val="0"/>
                <w:bCs w:val="0"/>
                <w:color w:val="auto"/>
                <w:szCs w:val="21"/>
                <w:highlight w:val="none"/>
              </w:rPr>
              <w:t>提供：</w:t>
            </w:r>
            <w:r>
              <w:rPr>
                <w:rFonts w:hint="eastAsia" w:ascii="仿宋" w:hAnsi="仿宋" w:eastAsia="仿宋"/>
                <w:b w:val="0"/>
                <w:bCs w:val="0"/>
                <w:color w:val="auto"/>
                <w:szCs w:val="21"/>
                <w:highlight w:val="none"/>
              </w:rPr>
              <w:t>综合资料</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（1）制造、安装和调试进度计划表；</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（2）设计、制作和检测依据的标准和规范；</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（3）装箱单；</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（4）整套系统的设计说明；</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（5）公用系统介质需求(如电、蒸汽压力、压缩空气用量等参数)；</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（6）(在安装现场的)总体布置图；</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（7）成套装置和各个设备、部件的技术参数表；</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（8）运输、安装、使用操作和维护说明书；</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（9）设备日常维护保养规程；</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（10）设备预防性维修规程。</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（11）专用工具一套。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b w:val="0"/>
                <w:bCs w:val="0"/>
                <w:color w:val="auto"/>
                <w:szCs w:val="21"/>
                <w:highlight w:val="none"/>
              </w:rPr>
            </w:pPr>
            <w:r>
              <w:rPr>
                <w:rFonts w:hint="eastAsia" w:ascii="仿宋" w:hAnsi="仿宋" w:eastAsia="仿宋" w:cs="宋体"/>
                <w:b w:val="0"/>
                <w:bCs w:val="0"/>
                <w:color w:val="auto"/>
                <w:szCs w:val="21"/>
                <w:highlight w:val="none"/>
              </w:rPr>
              <w:t>URS09</w:t>
            </w:r>
            <w:r>
              <w:rPr>
                <w:rFonts w:ascii="仿宋" w:hAnsi="仿宋" w:eastAsia="仿宋" w:cs="宋体"/>
                <w:b w:val="0"/>
                <w:bCs w:val="0"/>
                <w:color w:val="auto"/>
                <w:szCs w:val="21"/>
                <w:highlight w:val="none"/>
              </w:rPr>
              <w:t>3</w:t>
            </w:r>
          </w:p>
        </w:tc>
        <w:tc>
          <w:tcPr>
            <w:tcW w:w="7371"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供应商提供</w:t>
            </w:r>
            <w:r>
              <w:rPr>
                <w:rFonts w:ascii="仿宋" w:hAnsi="仿宋" w:eastAsia="仿宋"/>
                <w:b w:val="0"/>
                <w:bCs w:val="0"/>
                <w:color w:val="auto"/>
                <w:szCs w:val="21"/>
                <w:highlight w:val="none"/>
              </w:rPr>
              <w:t>：</w:t>
            </w:r>
            <w:r>
              <w:rPr>
                <w:rFonts w:hint="eastAsia" w:ascii="仿宋" w:hAnsi="仿宋" w:eastAsia="仿宋"/>
                <w:b w:val="0"/>
                <w:bCs w:val="0"/>
                <w:color w:val="auto"/>
                <w:szCs w:val="21"/>
                <w:highlight w:val="none"/>
              </w:rPr>
              <w:t>检测、验收和验证</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（1）成套(整套)装置的合格证和质量保证书；</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（2）原材料检测报告和检测证书；</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（3）零部件和设备的合格证和使用说明书；</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（4）零部件和设备检测报告和检测证书；</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（5）变更控制记录与报告；</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（6）设计确认(DQ)文件；</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（7）安装确认(IQ)文件；</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（8）运行确认(OQ)文件；</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（9）性能确认(PQ)文件；</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（10）出厂前工厂内验收测试(FAT)文件；</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（11）现场验收测试(SAT)文件；</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（12）提供压力容器监检报告。</w:t>
            </w:r>
          </w:p>
          <w:p>
            <w:pPr>
              <w:spacing w:before="120" w:after="120" w:line="240" w:lineRule="exact"/>
              <w:rPr>
                <w:rFonts w:ascii="仿宋" w:hAnsi="仿宋" w:eastAsia="仿宋"/>
                <w:b w:val="0"/>
                <w:bCs w:val="0"/>
                <w:color w:val="auto"/>
                <w:szCs w:val="21"/>
                <w:highlight w:val="none"/>
              </w:rPr>
            </w:pPr>
            <w:r>
              <w:rPr>
                <w:rFonts w:hint="eastAsia" w:ascii="仿宋" w:hAnsi="仿宋" w:eastAsia="仿宋"/>
                <w:b w:val="0"/>
                <w:bCs w:val="0"/>
                <w:color w:val="auto"/>
                <w:szCs w:val="21"/>
                <w:highlight w:val="none"/>
              </w:rPr>
              <w:t>（13）必须的其他竣工资料和验证文件。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宋体" w:hAnsi="宋体" w:cs="宋体"/>
                <w:color w:val="000000"/>
                <w:kern w:val="2"/>
                <w:lang w:eastAsia="zh-CN"/>
              </w:rPr>
              <w:t>本URS条款为最低要求，如有更高配置请加以说明</w:t>
            </w:r>
          </w:p>
        </w:tc>
      </w:tr>
    </w:tbl>
    <w:p>
      <w:pPr>
        <w:spacing w:line="300" w:lineRule="auto"/>
      </w:pPr>
    </w:p>
    <w:p>
      <w:pPr>
        <w:spacing w:line="300" w:lineRule="auto"/>
      </w:pPr>
      <w:r>
        <w:drawing>
          <wp:inline distT="0" distB="0" distL="114300" distR="114300">
            <wp:extent cx="3361690" cy="6713220"/>
            <wp:effectExtent l="0" t="0" r="10160"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361690" cy="6713220"/>
                    </a:xfrm>
                    <a:prstGeom prst="rect">
                      <a:avLst/>
                    </a:prstGeom>
                    <a:noFill/>
                    <a:ln>
                      <a:noFill/>
                    </a:ln>
                  </pic:spPr>
                </pic:pic>
              </a:graphicData>
            </a:graphic>
          </wp:inline>
        </w:drawing>
      </w: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pPr>
    </w:p>
    <w:p>
      <w:pPr>
        <w:spacing w:line="30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附件二：</w:t>
      </w:r>
    </w:p>
    <w:tbl>
      <w:tblPr>
        <w:tblStyle w:val="51"/>
        <w:tblW w:w="16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371"/>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概述</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目的及用途：</w:t>
            </w:r>
          </w:p>
          <w:p>
            <w:pPr>
              <w:snapToGrid w:val="0"/>
              <w:spacing w:line="300" w:lineRule="auto"/>
              <w:jc w:val="left"/>
              <w:rPr>
                <w:rFonts w:ascii="楷体" w:hAnsi="楷体" w:eastAsia="楷体"/>
                <w:sz w:val="24"/>
              </w:rPr>
            </w:pPr>
            <w:r>
              <w:rPr>
                <w:rFonts w:hint="eastAsia" w:ascii="楷体" w:hAnsi="楷体" w:eastAsia="楷体"/>
                <w:sz w:val="24"/>
              </w:rPr>
              <w:t>将净原料进行提油操作，快速安全的提取出符合相关工艺要求的挥发油</w:t>
            </w:r>
          </w:p>
          <w:p>
            <w:pPr>
              <w:snapToGrid w:val="0"/>
              <w:spacing w:line="300" w:lineRule="auto"/>
              <w:jc w:val="left"/>
              <w:rPr>
                <w:rFonts w:ascii="楷体" w:hAnsi="楷体" w:eastAsia="楷体"/>
                <w:sz w:val="24"/>
              </w:rPr>
            </w:pPr>
            <w:r>
              <w:rPr>
                <w:rFonts w:hint="eastAsia" w:ascii="楷体" w:hAnsi="楷体" w:eastAsia="楷体"/>
                <w:sz w:val="24"/>
              </w:rPr>
              <w:t>安装位置：</w:t>
            </w:r>
          </w:p>
          <w:p>
            <w:pPr>
              <w:snapToGrid w:val="0"/>
              <w:spacing w:line="300" w:lineRule="auto"/>
              <w:jc w:val="left"/>
              <w:rPr>
                <w:rFonts w:ascii="楷体" w:hAnsi="楷体" w:eastAsia="楷体"/>
                <w:sz w:val="24"/>
              </w:rPr>
            </w:pPr>
            <w:r>
              <w:rPr>
                <w:rFonts w:hint="eastAsia" w:ascii="楷体" w:hAnsi="楷体" w:eastAsia="楷体"/>
                <w:sz w:val="24"/>
              </w:rPr>
              <w:t>三楼投料间</w:t>
            </w:r>
          </w:p>
          <w:p>
            <w:pPr>
              <w:snapToGrid w:val="0"/>
              <w:spacing w:line="300" w:lineRule="auto"/>
              <w:jc w:val="left"/>
              <w:rPr>
                <w:rFonts w:ascii="楷体" w:hAnsi="楷体" w:eastAsia="楷体"/>
                <w:sz w:val="24"/>
              </w:rPr>
            </w:pPr>
            <w:r>
              <w:rPr>
                <w:rFonts w:hint="eastAsia" w:ascii="楷体" w:hAnsi="楷体" w:eastAsia="楷体"/>
                <w:sz w:val="24"/>
              </w:rPr>
              <w:t>参考文献：</w:t>
            </w:r>
          </w:p>
          <w:p>
            <w:pPr>
              <w:snapToGrid w:val="0"/>
              <w:spacing w:line="300" w:lineRule="auto"/>
              <w:jc w:val="left"/>
              <w:rPr>
                <w:rFonts w:ascii="楷体" w:hAnsi="楷体" w:eastAsia="楷体"/>
                <w:sz w:val="24"/>
              </w:rPr>
            </w:pPr>
            <w:r>
              <w:rPr>
                <w:rFonts w:hint="eastAsia" w:ascii="楷体" w:hAnsi="楷体" w:eastAsia="楷体"/>
                <w:sz w:val="24"/>
              </w:rPr>
              <w:t>&lt;药品生产质量管理规范&gt;(2010)  。</w:t>
            </w:r>
          </w:p>
          <w:p>
            <w:pPr>
              <w:snapToGrid w:val="0"/>
              <w:spacing w:line="300" w:lineRule="auto"/>
              <w:jc w:val="left"/>
              <w:rPr>
                <w:rFonts w:ascii="楷体" w:hAnsi="楷体" w:eastAsia="楷体"/>
                <w:sz w:val="24"/>
              </w:rPr>
            </w:pPr>
            <w:r>
              <w:rPr>
                <w:rFonts w:hint="eastAsia" w:ascii="楷体" w:hAnsi="楷体" w:eastAsia="楷体"/>
                <w:sz w:val="24"/>
              </w:rPr>
              <w:t xml:space="preserve">《中华人民共和国药品管理法》  。 </w:t>
            </w:r>
          </w:p>
          <w:p>
            <w:pPr>
              <w:snapToGrid w:val="0"/>
              <w:spacing w:line="300" w:lineRule="auto"/>
              <w:jc w:val="left"/>
              <w:rPr>
                <w:rFonts w:ascii="楷体" w:hAnsi="楷体" w:eastAsia="楷体"/>
                <w:sz w:val="24"/>
              </w:rPr>
            </w:pPr>
            <w:r>
              <w:rPr>
                <w:rFonts w:hint="eastAsia" w:ascii="楷体" w:hAnsi="楷体" w:eastAsia="楷体"/>
                <w:sz w:val="24"/>
              </w:rPr>
              <w:t>《中华人民共和国药品管理法实施条例》。</w:t>
            </w:r>
          </w:p>
          <w:p>
            <w:pPr>
              <w:snapToGrid w:val="0"/>
              <w:spacing w:line="300" w:lineRule="auto"/>
              <w:jc w:val="left"/>
              <w:rPr>
                <w:rFonts w:ascii="楷体" w:hAnsi="楷体" w:eastAsia="楷体"/>
                <w:sz w:val="24"/>
              </w:rPr>
            </w:pPr>
            <w:r>
              <w:rPr>
                <w:rFonts w:hint="eastAsia" w:ascii="楷体" w:hAnsi="楷体" w:eastAsia="楷体"/>
                <w:sz w:val="24"/>
              </w:rPr>
              <w:t xml:space="preserve">《中国药典》2020版  GBZ-2010工业企业设计卫生标准 。 </w:t>
            </w:r>
          </w:p>
          <w:p>
            <w:pPr>
              <w:snapToGrid w:val="0"/>
              <w:spacing w:line="300" w:lineRule="auto"/>
              <w:jc w:val="left"/>
              <w:rPr>
                <w:rFonts w:ascii="楷体" w:hAnsi="楷体" w:eastAsia="楷体"/>
                <w:sz w:val="24"/>
              </w:rPr>
            </w:pPr>
            <w:r>
              <w:rPr>
                <w:rFonts w:hint="eastAsia" w:ascii="楷体" w:hAnsi="楷体" w:eastAsia="楷体"/>
                <w:sz w:val="24"/>
              </w:rPr>
              <w:t>GB20021-2004中华人民共和国制药机械行业标准  。</w:t>
            </w:r>
          </w:p>
          <w:p>
            <w:pPr>
              <w:snapToGrid w:val="0"/>
              <w:spacing w:line="300" w:lineRule="auto"/>
              <w:jc w:val="left"/>
              <w:rPr>
                <w:rFonts w:ascii="楷体" w:hAnsi="楷体" w:eastAsia="楷体"/>
                <w:sz w:val="24"/>
              </w:rPr>
            </w:pPr>
            <w:r>
              <w:rPr>
                <w:rFonts w:hint="eastAsia" w:ascii="楷体" w:hAnsi="楷体" w:eastAsia="楷体"/>
                <w:sz w:val="24"/>
              </w:rPr>
              <w:t>中国制药装备协会所颁布的制药工程设备标准、ISO9000、ISO14000、OSAHS18000、GB150 （中国压力容器标准）</w:t>
            </w:r>
          </w:p>
          <w:p>
            <w:pPr>
              <w:snapToGrid w:val="0"/>
              <w:spacing w:line="300" w:lineRule="auto"/>
              <w:jc w:val="left"/>
              <w:rPr>
                <w:rFonts w:ascii="宋体" w:hAnsi="宋体" w:cs="宋体"/>
                <w:color w:val="000000"/>
                <w:sz w:val="24"/>
              </w:rPr>
            </w:pPr>
            <w:r>
              <w:rPr>
                <w:rFonts w:hint="eastAsia" w:ascii="楷体" w:hAnsi="楷体" w:eastAsia="楷体"/>
                <w:sz w:val="24"/>
              </w:rPr>
              <w:t xml:space="preserve">  GB-52261-2002 机械安全机械电气设备第一部分：通用技术条件 GB-12265-90 机械防护安全要求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宋体" w:hAnsi="宋体" w:cs="宋体"/>
                <w:color w:val="000000"/>
                <w:sz w:val="24"/>
              </w:rPr>
              <w:t>综述（供货范围、工艺过程、主要特点等）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URS001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楷体" w:cs="宋体"/>
                <w:color w:val="000000"/>
                <w:sz w:val="24"/>
                <w:highlight w:val="none"/>
              </w:rPr>
            </w:pPr>
            <w:r>
              <w:rPr>
                <w:rFonts w:hint="eastAsia" w:ascii="楷体" w:hAnsi="楷体" w:eastAsia="楷体"/>
                <w:sz w:val="24"/>
                <w:highlight w:val="none"/>
              </w:rPr>
              <w:t>供货范围：3立方中药挥发油提取罐2台；自动控制装置1台；温度监控、蒸汽流量计量、水流量计量装置；耐酸碱气动泵2台。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URS002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ind w:left="12"/>
              <w:jc w:val="left"/>
              <w:rPr>
                <w:rFonts w:ascii="楷体" w:hAnsi="楷体" w:eastAsia="楷体"/>
                <w:sz w:val="24"/>
                <w:highlight w:val="none"/>
                <w:lang w:val="en-US" w:eastAsia="zh-CN"/>
              </w:rPr>
            </w:pPr>
            <w:r>
              <w:rPr>
                <w:rFonts w:hint="eastAsia" w:ascii="楷体" w:hAnsi="楷体" w:eastAsia="楷体"/>
                <w:sz w:val="24"/>
                <w:highlight w:val="none"/>
                <w:lang w:val="en-US" w:eastAsia="zh-CN"/>
              </w:rPr>
              <w:t>技术参数：</w:t>
            </w:r>
          </w:p>
          <w:p>
            <w:pPr>
              <w:snapToGrid w:val="0"/>
              <w:spacing w:line="300" w:lineRule="auto"/>
              <w:jc w:val="left"/>
              <w:rPr>
                <w:rFonts w:ascii="楷体" w:hAnsi="楷体" w:eastAsia="楷体"/>
                <w:sz w:val="24"/>
                <w:highlight w:val="none"/>
              </w:rPr>
            </w:pPr>
            <w:r>
              <w:rPr>
                <w:rFonts w:hint="eastAsia" w:ascii="楷体" w:hAnsi="楷体" w:eastAsia="楷体"/>
                <w:sz w:val="24"/>
                <w:highlight w:val="none"/>
              </w:rPr>
              <w:t>1、提取物料：中药材。溶媒介质：工艺用水。</w:t>
            </w:r>
          </w:p>
          <w:p>
            <w:pPr>
              <w:snapToGrid w:val="0"/>
              <w:spacing w:line="300" w:lineRule="auto"/>
              <w:jc w:val="left"/>
              <w:rPr>
                <w:rFonts w:ascii="楷体" w:hAnsi="楷体" w:eastAsia="楷体"/>
                <w:sz w:val="24"/>
                <w:highlight w:val="none"/>
              </w:rPr>
            </w:pPr>
            <w:r>
              <w:rPr>
                <w:rFonts w:hint="eastAsia" w:ascii="楷体" w:hAnsi="楷体" w:eastAsia="楷体"/>
                <w:sz w:val="24"/>
                <w:highlight w:val="none"/>
              </w:rPr>
              <w:t>2、不锈钢提取罐形状：直筒型</w:t>
            </w:r>
          </w:p>
          <w:p>
            <w:pPr>
              <w:snapToGrid w:val="0"/>
              <w:spacing w:line="300" w:lineRule="auto"/>
              <w:jc w:val="left"/>
              <w:rPr>
                <w:rFonts w:ascii="楷体" w:hAnsi="楷体" w:eastAsia="楷体"/>
                <w:sz w:val="24"/>
                <w:highlight w:val="none"/>
              </w:rPr>
            </w:pPr>
            <w:r>
              <w:rPr>
                <w:rFonts w:hint="eastAsia" w:ascii="楷体" w:hAnsi="楷体" w:eastAsia="楷体"/>
                <w:sz w:val="24"/>
                <w:highlight w:val="none"/>
              </w:rPr>
              <w:t xml:space="preserve">3、每台提取罐有效容积：3 m³ </w:t>
            </w:r>
          </w:p>
          <w:p>
            <w:pPr>
              <w:snapToGrid w:val="0"/>
              <w:spacing w:line="300" w:lineRule="auto"/>
              <w:jc w:val="left"/>
              <w:rPr>
                <w:rFonts w:ascii="楷体" w:hAnsi="楷体" w:eastAsia="楷体"/>
                <w:sz w:val="24"/>
                <w:highlight w:val="none"/>
              </w:rPr>
            </w:pPr>
            <w:r>
              <w:rPr>
                <w:rFonts w:hint="eastAsia" w:ascii="楷体" w:hAnsi="楷体" w:eastAsia="楷体"/>
                <w:sz w:val="24"/>
                <w:highlight w:val="none"/>
              </w:rPr>
              <w:t>4、配备清洁功能，自动喷淋装置。</w:t>
            </w:r>
          </w:p>
          <w:p>
            <w:pPr>
              <w:snapToGrid w:val="0"/>
              <w:spacing w:line="300" w:lineRule="auto"/>
              <w:jc w:val="left"/>
              <w:rPr>
                <w:rFonts w:hint="eastAsia" w:ascii="楷体" w:hAnsi="楷体" w:eastAsia="楷体"/>
                <w:sz w:val="24"/>
                <w:highlight w:val="none"/>
                <w:lang w:val="en-US" w:eastAsia="zh-CN"/>
              </w:rPr>
            </w:pPr>
            <w:r>
              <w:rPr>
                <w:rFonts w:hint="eastAsia" w:ascii="楷体" w:hAnsi="楷体" w:eastAsia="楷体"/>
                <w:sz w:val="24"/>
                <w:highlight w:val="none"/>
              </w:rPr>
              <w:t>5、能够实现酸碱清洗功能，设备耐酸碱。</w:t>
            </w:r>
          </w:p>
          <w:p>
            <w:pPr>
              <w:snapToGrid w:val="0"/>
              <w:spacing w:line="300" w:lineRule="auto"/>
              <w:jc w:val="left"/>
              <w:rPr>
                <w:rFonts w:ascii="楷体" w:hAnsi="楷体" w:eastAsia="楷体"/>
                <w:sz w:val="24"/>
                <w:highlight w:val="none"/>
              </w:rPr>
            </w:pPr>
            <w:r>
              <w:rPr>
                <w:rFonts w:hint="eastAsia" w:ascii="楷体" w:hAnsi="楷体" w:eastAsia="楷体"/>
                <w:sz w:val="24"/>
                <w:highlight w:val="none"/>
              </w:rPr>
              <w:t>6、生产单位具有相关压力容器制造和安装资质及质量保证资料，供货商提供现场安装方案和调试方案，提供压力容器监检报告。配合</w:t>
            </w:r>
            <w:r>
              <w:rPr>
                <w:rFonts w:ascii="楷体" w:hAnsi="楷体" w:eastAsia="楷体"/>
                <w:sz w:val="24"/>
                <w:highlight w:val="none"/>
              </w:rPr>
              <w:t>需方完成</w:t>
            </w:r>
            <w:r>
              <w:rPr>
                <w:rFonts w:hint="eastAsia" w:ascii="楷体" w:hAnsi="楷体" w:eastAsia="楷体"/>
                <w:sz w:val="24"/>
                <w:highlight w:val="none"/>
              </w:rPr>
              <w:t>特种设备注册</w:t>
            </w:r>
            <w:r>
              <w:rPr>
                <w:rFonts w:ascii="楷体" w:hAnsi="楷体" w:eastAsia="楷体"/>
                <w:sz w:val="24"/>
                <w:highlight w:val="none"/>
              </w:rPr>
              <w:t>等相关手续及工作</w:t>
            </w:r>
            <w:r>
              <w:rPr>
                <w:rFonts w:hint="eastAsia" w:ascii="楷体" w:hAnsi="楷体" w:eastAsia="楷体"/>
                <w:sz w:val="24"/>
                <w:highlight w:val="none"/>
              </w:rPr>
              <w:t>。</w:t>
            </w:r>
          </w:p>
          <w:p>
            <w:pPr>
              <w:snapToGrid w:val="0"/>
              <w:spacing w:line="300" w:lineRule="auto"/>
              <w:jc w:val="left"/>
              <w:rPr>
                <w:rFonts w:ascii="楷体" w:hAnsi="楷体" w:eastAsia="楷体"/>
                <w:sz w:val="24"/>
                <w:highlight w:val="none"/>
              </w:rPr>
            </w:pPr>
            <w:r>
              <w:rPr>
                <w:rFonts w:hint="eastAsia" w:ascii="楷体" w:hAnsi="楷体" w:eastAsia="楷体"/>
                <w:sz w:val="24"/>
                <w:highlight w:val="none"/>
              </w:rPr>
              <w:t>7、供方提供原设备拆除、新设备运输、安装、调试、验证工作，并注明设备安装调试周期及校验时间。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宋体" w:hAnsi="宋体" w:cs="宋体"/>
                <w:color w:val="000000"/>
                <w:sz w:val="24"/>
              </w:rPr>
              <w:t>工艺方面（工艺过程流程图、产量规格型号、工作环境等）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楷体" w:hAnsi="楷体" w:eastAsia="楷体"/>
                <w:sz w:val="24"/>
              </w:rPr>
              <w:t>设备能够满足轻油提油工艺过程，在本公司环境中不因季节，地理位置等特点导致设备出现工艺波动。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楷体" w:hAnsi="楷体" w:eastAsia="楷体"/>
                <w:sz w:val="24"/>
              </w:rPr>
              <w:t>设备要求无污染，各部件易清洗，与挥发油直接接触的各部件包括冷凝段有清洁方法，且易清洁彻底，管道无死角</w:t>
            </w:r>
            <w:r>
              <w:rPr>
                <w:rFonts w:hint="eastAsia" w:ascii="楷体" w:hAnsi="楷体" w:eastAsia="楷体"/>
                <w:sz w:val="24"/>
                <w:lang w:eastAsia="zh-CN"/>
              </w:rPr>
              <w:t>，</w:t>
            </w:r>
            <w:r>
              <w:rPr>
                <w:rFonts w:hint="eastAsia" w:ascii="楷体" w:hAnsi="楷体" w:eastAsia="楷体"/>
                <w:sz w:val="24"/>
                <w:lang w:val="en-US" w:eastAsia="zh-CN"/>
              </w:rPr>
              <w:t>各段冷凝器均能够方便拆开查看内部清洁情况</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宋体" w:hAnsi="宋体" w:cs="宋体"/>
                <w:color w:val="000000"/>
                <w:sz w:val="24"/>
              </w:rPr>
              <w:t>机械方面（设备/设施机械部分系统图、配套公用设施、材质要求、表面处理、电器设备/设施布局图等）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default" w:ascii="楷体" w:hAnsi="楷体" w:eastAsia="楷体"/>
                <w:sz w:val="24"/>
                <w:lang w:val="en-US"/>
              </w:rPr>
            </w:pPr>
            <w:r>
              <w:rPr>
                <w:rFonts w:hint="eastAsia" w:ascii="楷体" w:hAnsi="楷体" w:eastAsia="楷体"/>
                <w:sz w:val="24"/>
              </w:rPr>
              <w:t>提取器采用集中自控方式，应当配套自控屏，配合自控专业设备，自动控制应预留接入中控室的接口，至少预留要求有投料(人孔)、视孔、照明孔、排气口、回流口、强制回流口、压力表口（配合自控）、排空口、放液口（配合自控）、直通蒸汽口、饮用水进口、CIP 接口（配合自控）、温度探头接口（配合自控）一级冷却、二级冷却和收集器及安全泄压口等相关工艺开口。投料口为全自动打开及锁紧的工作方式，自动执行打开及关闭动作，并在关闭后自动锁紧。投料口的直径不小于DN</w:t>
            </w:r>
            <w:r>
              <w:rPr>
                <w:rFonts w:hint="eastAsia" w:ascii="楷体" w:hAnsi="楷体" w:eastAsia="楷体"/>
                <w:sz w:val="24"/>
                <w:lang w:val="en-US" w:eastAsia="zh-CN"/>
              </w:rPr>
              <w:t>500，提取罐投料口要能够满足自动上料装置的安装使用。</w:t>
            </w:r>
          </w:p>
          <w:p>
            <w:pPr>
              <w:snapToGrid w:val="0"/>
              <w:spacing w:line="300" w:lineRule="auto"/>
              <w:jc w:val="left"/>
              <w:rPr>
                <w:rFonts w:hint="default" w:ascii="楷体" w:hAnsi="楷体" w:eastAsia="楷体"/>
                <w:sz w:val="24"/>
                <w:lang w:val="en-US" w:eastAsia="zh-CN"/>
              </w:rPr>
            </w:pPr>
            <w:r>
              <w:rPr>
                <w:rFonts w:hint="eastAsia" w:ascii="楷体" w:hAnsi="楷体" w:eastAsia="楷体"/>
                <w:sz w:val="24"/>
                <w:lang w:val="en-US" w:eastAsia="zh-CN"/>
              </w:rPr>
              <w:t>设备自控系统应当与本公司当前现有6台直筒式提取罐操作系统进行一体化整合，统一到一套操作系统上，并在一台自控屏上进行操作。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采用分段夹套加热的方式，整个提取罐底盖覆盖夹套，提取罐筒身夹套分为2 段，底盖加热1段，这样，一方面，在投料量小时，关闭筒身上段夹套，可以避免</w:t>
            </w:r>
            <w:r>
              <w:rPr>
                <w:rFonts w:hint="eastAsia" w:ascii="楷体" w:hAnsi="楷体" w:eastAsia="楷体"/>
                <w:color w:val="000000"/>
                <w:sz w:val="24"/>
              </w:rPr>
              <w:t>干烧，使该提取罐可以适应较小的投料量。另一方面，可以采用更加合理的加热方式，使提取罐加热做到节能、可控、快速，保证药液40分钟沸腾。</w:t>
            </w:r>
          </w:p>
          <w:p>
            <w:pPr>
              <w:snapToGrid w:val="0"/>
              <w:spacing w:line="300" w:lineRule="auto"/>
              <w:jc w:val="left"/>
              <w:rPr>
                <w:rFonts w:ascii="楷体" w:hAnsi="楷体" w:eastAsia="楷体"/>
                <w:sz w:val="24"/>
              </w:rPr>
            </w:pPr>
            <w:r>
              <w:rPr>
                <w:rFonts w:hint="eastAsia" w:ascii="楷体" w:hAnsi="楷体" w:eastAsia="楷体"/>
                <w:sz w:val="24"/>
              </w:rPr>
              <w:t>提取溶媒进液完成后，打开全部筒身夹套加热，进行水蒸气蒸馏法提取挥发油操作通过一二级冷却进行挥发油的收集。</w:t>
            </w:r>
          </w:p>
          <w:p>
            <w:pPr>
              <w:snapToGrid w:val="0"/>
              <w:spacing w:line="300" w:lineRule="auto"/>
              <w:jc w:val="left"/>
              <w:rPr>
                <w:rFonts w:ascii="楷体" w:hAnsi="楷体" w:eastAsia="楷体"/>
                <w:sz w:val="24"/>
              </w:rPr>
            </w:pPr>
            <w:r>
              <w:rPr>
                <w:rFonts w:hint="eastAsia" w:ascii="楷体" w:hAnsi="楷体" w:eastAsia="楷体"/>
                <w:sz w:val="24"/>
              </w:rPr>
              <w:t>依靠底盖夹套和调节筒身下段夹套的加热功率，控制到所需要的煎煮沸腾程度。如要求更高的沸腾程度，则开启筒身下段夹套，并依靠调节阀调节加热功率，使得煎煮沸腾程度满足工艺要求。</w:t>
            </w:r>
          </w:p>
          <w:p>
            <w:pPr>
              <w:snapToGrid w:val="0"/>
              <w:spacing w:line="300" w:lineRule="auto"/>
              <w:jc w:val="left"/>
              <w:rPr>
                <w:rFonts w:ascii="楷体" w:hAnsi="楷体" w:eastAsia="楷体"/>
                <w:sz w:val="24"/>
              </w:rPr>
            </w:pPr>
            <w:r>
              <w:rPr>
                <w:rFonts w:hint="eastAsia" w:ascii="楷体" w:hAnsi="楷体" w:eastAsia="楷体"/>
                <w:sz w:val="24"/>
              </w:rPr>
              <w:t>底盖夹套的方式确保提取罐内各处温度均匀，煎煮透彻，提取罐上、中、底部温度表显示温度偏差</w:t>
            </w:r>
            <w:r>
              <w:rPr>
                <w:rFonts w:hint="eastAsia" w:ascii="楷体" w:hAnsi="楷体" w:eastAsia="楷体"/>
                <w:sz w:val="24"/>
                <w:lang w:val="en-US" w:eastAsia="zh-CN"/>
              </w:rPr>
              <w:t>不应过大</w:t>
            </w:r>
            <w:r>
              <w:rPr>
                <w:rFonts w:hint="eastAsia" w:ascii="楷体" w:hAnsi="楷体" w:eastAsia="楷体"/>
                <w:sz w:val="24"/>
              </w:rPr>
              <w:t>。</w:t>
            </w:r>
          </w:p>
          <w:p>
            <w:pPr>
              <w:snapToGrid w:val="0"/>
              <w:spacing w:line="300" w:lineRule="auto"/>
              <w:jc w:val="left"/>
              <w:rPr>
                <w:rFonts w:ascii="楷体" w:hAnsi="楷体" w:eastAsia="楷体"/>
                <w:sz w:val="24"/>
              </w:rPr>
            </w:pPr>
            <w:r>
              <w:rPr>
                <w:rFonts w:hint="eastAsia" w:ascii="楷体" w:hAnsi="楷体" w:eastAsia="楷体"/>
                <w:sz w:val="24"/>
              </w:rPr>
              <w:t>提取罐应当配有蒸汽计量装置，能够实时监控蒸汽流量。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提取罐有罐内温度监控显示，罐内温度监控应至少分为三段，即上中下段，冷凝段各段同时有温度监控显示，能第一时间反应提取罐罐内温度以及冷凝段温度，并可以再自控系统上实时监控调整。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楷体" w:hAnsi="楷体" w:eastAsia="楷体"/>
                <w:sz w:val="24"/>
              </w:rPr>
            </w:pPr>
            <w:r>
              <w:rPr>
                <w:rFonts w:hint="eastAsia" w:ascii="楷体" w:hAnsi="楷体" w:eastAsia="楷体"/>
                <w:sz w:val="24"/>
              </w:rPr>
              <w:t>提取罐具备提油（轻油）功能，接触挥发油部分透明可直观查看、内壁无挥发油挂壁及存油现象。薄荷油转移率应在65%以上。有密闭出油的措施或方法（避免挥发油接触空气污染）。</w:t>
            </w:r>
          </w:p>
          <w:p>
            <w:pPr>
              <w:snapToGrid w:val="0"/>
              <w:spacing w:line="300" w:lineRule="auto"/>
              <w:jc w:val="left"/>
              <w:rPr>
                <w:rFonts w:hint="default" w:ascii="楷体" w:hAnsi="楷体" w:eastAsia="楷体"/>
                <w:sz w:val="24"/>
                <w:lang w:val="en-US" w:eastAsia="zh-CN"/>
              </w:rPr>
            </w:pPr>
            <w:r>
              <w:rPr>
                <w:rFonts w:hint="eastAsia" w:ascii="楷体" w:hAnsi="楷体" w:eastAsia="楷体"/>
                <w:sz w:val="24"/>
                <w:lang w:val="en-US" w:eastAsia="zh-CN"/>
              </w:rPr>
              <w:t>能够前往厂家进行油量提取的验证。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URS009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提取罐具备加水量的电子计量，并可以在自控系统上设置和监控加水量，加水量计量应当精确在10KG以内。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URS010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系统中和药液接触部分采用304不锈钢制作。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URS011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设备表面便于清洁。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URS012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color w:val="000000"/>
                <w:sz w:val="24"/>
              </w:rPr>
            </w:pPr>
            <w:r>
              <w:rPr>
                <w:rFonts w:hint="eastAsia" w:ascii="楷体" w:hAnsi="楷体" w:eastAsia="楷体"/>
                <w:color w:val="000000"/>
                <w:sz w:val="24"/>
              </w:rPr>
              <w:t>罐体材质：优质sus304 不锈钢，材质成分、厚度要求按国标标准（GB/T3280-2007），表面粗糙度≤0.45μm, 材质为sus304，厚度：≥8mm。附材质及粗糙度证明文件。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color w:val="000000"/>
                <w:sz w:val="24"/>
              </w:rPr>
            </w:pPr>
            <w:r>
              <w:rPr>
                <w:rFonts w:hint="eastAsia" w:ascii="楷体" w:hAnsi="楷体" w:eastAsia="楷体"/>
                <w:color w:val="000000"/>
                <w:sz w:val="24"/>
              </w:rPr>
              <w:t>设备整体设计符合新版GMP 相关规范，避免交叉污染、泄漏污染、异物脱落、局部温升对药品质量的影响。与药品直接接触（包括密封，螺丝，垫片等）的金属部分材质均采用要求的sus304，非金属部件采用聚四氟乙烯、硅橡胶等GMP 认可的无毒材料；其它部件尽可能采用不锈钢材质，严防生锈。特别注意设备加工问题对药品内在质量的影响：传动轴密封时确保不会因润滑油泄露，对物料造成污染；密封材料使用耐高温、耐腐蚀、不易脱落、符合新版GMP 要求的材质；提供相应的证明材料。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设备内表面（与物料接触部分）</w:t>
            </w:r>
            <w:r>
              <w:rPr>
                <w:rFonts w:hint="eastAsia" w:ascii="楷体" w:hAnsi="楷体" w:eastAsia="楷体"/>
                <w:sz w:val="24"/>
                <w:lang w:val="en-US" w:eastAsia="zh-CN"/>
              </w:rPr>
              <w:t>以及设备冷凝器内部与挥发油蒸汽接触部分</w:t>
            </w:r>
            <w:r>
              <w:rPr>
                <w:rFonts w:hint="eastAsia" w:ascii="楷体" w:hAnsi="楷体" w:eastAsia="楷体"/>
                <w:sz w:val="24"/>
              </w:rPr>
              <w:t>要符合提油所必备的内壁光滑程度</w:t>
            </w:r>
            <w:r>
              <w:rPr>
                <w:rFonts w:hint="eastAsia" w:ascii="楷体" w:hAnsi="楷体" w:eastAsia="楷体"/>
                <w:sz w:val="24"/>
                <w:lang w:eastAsia="zh-CN"/>
              </w:rPr>
              <w:t>，</w:t>
            </w:r>
            <w:r>
              <w:rPr>
                <w:rFonts w:hint="eastAsia" w:ascii="楷体" w:hAnsi="楷体" w:eastAsia="楷体"/>
                <w:sz w:val="24"/>
                <w:lang w:val="en-US" w:eastAsia="zh-CN"/>
              </w:rPr>
              <w:t>所采用的材质能够做到不使挥发油挂壁，挥发油</w:t>
            </w:r>
            <w:r>
              <w:rPr>
                <w:rFonts w:hint="eastAsia" w:ascii="楷体" w:hAnsi="楷体" w:eastAsia="楷体"/>
                <w:sz w:val="24"/>
              </w:rPr>
              <w:t>提取罐在出厂前买方到卖方工厂进行FAT，并对内表面粗糙度进行现场测量，</w:t>
            </w:r>
            <w:r>
              <w:rPr>
                <w:rFonts w:hint="eastAsia" w:ascii="楷体" w:hAnsi="楷体" w:eastAsia="楷体"/>
                <w:sz w:val="24"/>
                <w:lang w:val="en-US" w:eastAsia="zh-CN"/>
              </w:rPr>
              <w:t>并验证薄荷提油转移率，</w:t>
            </w:r>
            <w:r>
              <w:rPr>
                <w:rFonts w:hint="eastAsia" w:ascii="楷体" w:hAnsi="楷体" w:eastAsia="楷体"/>
                <w:sz w:val="24"/>
              </w:rPr>
              <w:t>合格后方可出厂。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楷体" w:hAnsi="楷体" w:eastAsia="楷体"/>
                <w:sz w:val="24"/>
              </w:rPr>
            </w:pPr>
            <w:r>
              <w:rPr>
                <w:rFonts w:hint="eastAsia" w:ascii="楷体" w:hAnsi="楷体" w:eastAsia="楷体"/>
                <w:sz w:val="24"/>
              </w:rPr>
              <w:t>设备内部无死角，便于清洁、拆卸与维修，内表面光滑、整洁、美观，过渡处有倒角和圆角处理，不得有明显的凸瘤、凹陷、毛刺、划痕、碰伤和锈蚀现象；各金属焊缝或焊点应做抛光、钝化处理，焊接表面应均匀、完整，不得有疤痕、夹渣及气孔等现象，并需充分考虑工期内设备应力的消除。</w:t>
            </w:r>
          </w:p>
          <w:p>
            <w:pPr>
              <w:snapToGrid w:val="0"/>
              <w:spacing w:line="300" w:lineRule="auto"/>
              <w:jc w:val="left"/>
              <w:rPr>
                <w:rFonts w:ascii="楷体" w:hAnsi="楷体" w:eastAsia="楷体"/>
                <w:sz w:val="24"/>
              </w:rPr>
            </w:pPr>
            <w:r>
              <w:rPr>
                <w:rFonts w:hint="eastAsia" w:ascii="楷体" w:hAnsi="楷体" w:eastAsia="楷体"/>
                <w:sz w:val="24"/>
                <w:lang w:val="en-US" w:eastAsia="zh-CN"/>
              </w:rPr>
              <w:t>设备与挥发油接触冷凝段，分油段应当光滑，无焊点，无接缝，</w:t>
            </w:r>
            <w:r>
              <w:rPr>
                <w:rFonts w:hint="eastAsia" w:ascii="楷体" w:hAnsi="楷体" w:eastAsia="楷体"/>
                <w:sz w:val="24"/>
              </w:rPr>
              <w:t>设备材质及光洁度要求满足新版GMP 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设备外表面采用喷砂或亚光处理。投标方在投标时提供喷砂和亚光处理的样板，验收时以样板为验收标准。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保温外壳厚度：≥3mm；封头厚度：＞6mm，外表面光洁度Ra≤0.8μm，所有焊缝应精加工至光洁度Ra≤0.5μm并且予以适当的钝化处理，内表面光洁度Ra≤0.4μm。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夹套材质采用不锈钢sus304，可采用空腔整体夹套或蜂窝夹套。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URS019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外保温与法兰连接处在试压后将法兰割掉、安装外保温后再焊接法兰，以保证外保护层的美观。提取罐外保温材料，具有耐高温抗老化、保温时效长的功能；保温层厚度为50mm，保温材料应是不含纤维，不含石棉的材料；罐正常加热操作时外表面温度不超过35℃。提取罐外保温材料应当将需保温部分全部包裹，特别是蒸汽阀门等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应采用双气缸开关提取罐底盖的方式来保证开关盖动作的平稳。开合底盖速度可控，且开合底盖过程必须平稳，即提取罐任何工况下不得产生明显晃动；特别是出渣时底盖打开不能受药渣重力作用失控。提取罐底盖应有自锁装置，断电、停气时锁紧装置仍起作用，保证无料液泄出，杜绝安全隐患，底盖应保证5 年内不变形，如5 年内因变形产生泄漏实行免费更换。</w:t>
            </w:r>
          </w:p>
          <w:p>
            <w:pPr>
              <w:snapToGrid w:val="0"/>
              <w:spacing w:line="300" w:lineRule="auto"/>
              <w:jc w:val="left"/>
              <w:rPr>
                <w:rFonts w:ascii="楷体" w:hAnsi="楷体" w:eastAsia="楷体"/>
                <w:sz w:val="24"/>
              </w:rPr>
            </w:pPr>
            <w:r>
              <w:rPr>
                <w:rFonts w:hint="eastAsia" w:ascii="楷体" w:hAnsi="楷体" w:eastAsia="楷体"/>
                <w:sz w:val="24"/>
              </w:rPr>
              <w:t>提取罐底盖应当有防呆</w:t>
            </w:r>
            <w:r>
              <w:rPr>
                <w:rFonts w:hint="eastAsia" w:ascii="楷体" w:hAnsi="楷体" w:eastAsia="楷体"/>
                <w:color w:val="0000FF"/>
                <w:sz w:val="24"/>
              </w:rPr>
              <w:t>防</w:t>
            </w:r>
            <w:r>
              <w:rPr>
                <w:rFonts w:hint="eastAsia" w:ascii="楷体" w:hAnsi="楷体" w:eastAsia="楷体"/>
                <w:sz w:val="24"/>
              </w:rPr>
              <w:t>错装置，锁紧未开启到达指定位置时，不能打开和关闭底盖，防止误操作损坏设备。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提取罐底盖有过滤装置，过滤目数相当于中国药典80 目，过滤网的选型能够有效的防止罐底盖堵塞，以免影响出液。也可以采取辅助方式，去除药渣中的残液，保证出液顺畅彻底。出液后的药渣要求做到不滴水排放，出液的过程要求在30 分钟内完成。（需采用先进的出料方式，保证药液出料无残留）</w:t>
            </w:r>
          </w:p>
          <w:p>
            <w:pPr>
              <w:snapToGrid w:val="0"/>
              <w:spacing w:line="300" w:lineRule="auto"/>
              <w:jc w:val="left"/>
              <w:rPr>
                <w:rFonts w:ascii="楷体" w:hAnsi="楷体" w:eastAsia="楷体"/>
                <w:sz w:val="24"/>
              </w:rPr>
            </w:pPr>
            <w:r>
              <w:rPr>
                <w:rFonts w:hint="eastAsia" w:ascii="楷体" w:hAnsi="楷体" w:eastAsia="楷体"/>
                <w:sz w:val="24"/>
              </w:rPr>
              <w:t>提取罐应当配备启动出液泵，耐酸碱，能够进行循环清洁罐内壁。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提取罐底盖过滤网的设计需考虑方便排渣后的清洗和更换方便，应能方便的打开以便清洗底盖筛板下方的空间。底盖过滤网表面不能粘附药渣。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排渣完成后应能够通过CIP 清洗清理提取罐底盖</w:t>
            </w:r>
            <w:r>
              <w:rPr>
                <w:rFonts w:hint="eastAsia" w:ascii="楷体" w:hAnsi="楷体" w:eastAsia="楷体"/>
                <w:sz w:val="24"/>
                <w:lang w:eastAsia="zh-CN"/>
              </w:rPr>
              <w:t>、</w:t>
            </w:r>
            <w:r>
              <w:rPr>
                <w:rFonts w:hint="eastAsia" w:ascii="楷体" w:hAnsi="楷体" w:eastAsia="楷体"/>
                <w:sz w:val="24"/>
                <w:lang w:val="en-US" w:eastAsia="zh-CN"/>
              </w:rPr>
              <w:t>提取罐内壁</w:t>
            </w:r>
            <w:r>
              <w:rPr>
                <w:rFonts w:hint="eastAsia" w:ascii="楷体" w:hAnsi="楷体" w:eastAsia="楷体"/>
                <w:sz w:val="24"/>
              </w:rPr>
              <w:t>，应保证无药渣等异物残留，不影响罐底盖的闭合。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应配套中控系统，包括设置在现场的提取罐开关盖控制柜，用于开启、关闭、锁紧提取罐底盖，并给出提取罐底盖的状态信号，表明提取罐盖是处于打开到位状态或关闭到位状态，可将这些状态信号传递给中控系统。也包括自控投料口的自动开关控制，同样，接收一个来自中控系统的开盖信号，可以实现锁紧装置自动打开到位后，打开投料口盖；接收一个来自中控系统的关盖信号，可以自动关闭投料口盖到位后，锁紧装置自动锁紧到位；锁紧装置和投料口盖的位置状态信号也都传递给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具备手自动切换功能，可以在开/关盖操作柜上通过按钮/旋钮进行开、关盖操作，也可以通过中控信号来执行开关提取罐盖操作。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当控制系统判断提取罐可以打开底盖，一个开盖信号可完成打开锁紧装置，自动判断锁紧装置打开到位后执行开盖动作并开盖到位；当控制系统接到信号可以执行提取罐盖关闭动作，一个关盖信号可以完成关盖，自动判断关盖到位后，执行锁紧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为便于清洗提取罐底盖和在开关盖时更加安全，要求通过提取罐控制柜控制，提取罐底盖可停止在全开和全关之间的任一位置。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开关/锁紧控制柜能保证提取罐安全可靠，具有充分的安全连锁功能，罐底排放阀不打开时，罐盖不能打开（防止罐内有料时进行开盖操作）；罐盖关闭不到位时，锁紧装置不动作；锁紧装置不打开到位，不执行开盖动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URS029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提取罐底盖要能够和渣车具备连锁功能，应当有避免提取罐底盖与渣车发成碰撞的装置。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设计压力：罐体：常压；夹套：＜0.3Mpa；</w:t>
            </w:r>
          </w:p>
          <w:p>
            <w:pPr>
              <w:snapToGrid w:val="0"/>
              <w:spacing w:line="300" w:lineRule="auto"/>
              <w:jc w:val="left"/>
              <w:rPr>
                <w:rFonts w:ascii="楷体" w:hAnsi="楷体" w:eastAsia="楷体"/>
                <w:sz w:val="24"/>
              </w:rPr>
            </w:pPr>
            <w:r>
              <w:rPr>
                <w:rFonts w:hint="eastAsia" w:ascii="楷体" w:hAnsi="楷体" w:eastAsia="楷体"/>
                <w:sz w:val="24"/>
              </w:rPr>
              <w:t>工作压力：罐体：常压；夹套：＜0.25Mpa；为保证提取罐底盖和投料口的密闭性，提取罐内部整体需能耐受0.095Mpa 打压试验（小于0.1MPa 的打压实验）。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设计温度：罐体：100°C；夹套：150°C；</w:t>
            </w:r>
          </w:p>
          <w:p>
            <w:pPr>
              <w:snapToGrid w:val="0"/>
              <w:spacing w:line="300" w:lineRule="auto"/>
              <w:jc w:val="left"/>
              <w:rPr>
                <w:rFonts w:ascii="楷体" w:hAnsi="楷体" w:eastAsia="楷体"/>
                <w:sz w:val="24"/>
              </w:rPr>
            </w:pPr>
            <w:r>
              <w:rPr>
                <w:rFonts w:hint="eastAsia" w:ascii="楷体" w:hAnsi="楷体" w:eastAsia="楷体"/>
                <w:sz w:val="24"/>
              </w:rPr>
              <w:t>工作温度：罐体：＜100°C；夹套：＜140°C；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提取罐底盖须满布夹套，实现底部加热，提取罐筒身夹套须至少分为两段，以适应一、二、三煎不同的加水量，避免提取罐内的干烧。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罐体整体保温；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保温材料：采用≥150kg/m³容重的岩棉；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保温层厚度：≥50mm；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保温效果应确保设备正常生产时外壳与环境温差不超过5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配备高效丝网式除沫器，能够高效阻挡和消除煎煮沸腾时产生的泡沫，材质满足新版GMP 药品规范。（自控控制泡沫需要与自控系统配合实现，通过加热控制和罐内压力控制可以避免泡沫的产生）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材质为：sus304 不锈钢，厚度：＞2mm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URS039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出气口直径：≥DN150(快装方式安装）。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顶部设置快装盖，以便于拆卸消泡件构，内置消泡件构易于拆卸和清洗。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color w:val="000000"/>
                <w:sz w:val="24"/>
              </w:rPr>
            </w:pPr>
            <w:r>
              <w:rPr>
                <w:rFonts w:hint="eastAsia" w:ascii="楷体" w:hAnsi="楷体" w:eastAsia="楷体"/>
                <w:color w:val="000000"/>
                <w:sz w:val="24"/>
              </w:rPr>
              <w:t>设备管口为快装方式（其中蒸汽、冷凝水、冷却水等公用工程接口可采用法兰连接方式）；蒸汽进口和冷凝水出口由设备制造商根据夹套面积和蒸汽的最大耗量设计选定，多段夹套时，可设计不同直径的蒸汽进口和冷凝水出口；料液进口：50mm；料液出口：65mm（为更加快速和顺畅的出料，应增大出料液口的尺寸）；排汽口：≥150mm，投料口：≥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color w:val="000000"/>
                <w:sz w:val="24"/>
              </w:rPr>
            </w:pPr>
            <w:r>
              <w:rPr>
                <w:rFonts w:hint="eastAsia" w:ascii="楷体" w:hAnsi="楷体" w:eastAsia="楷体"/>
                <w:color w:val="000000"/>
                <w:sz w:val="24"/>
              </w:rPr>
              <w:t>视镜采用带刮板型视镜，采用卡箍连接方式，视镜直径≥DN120mm。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color w:val="000000"/>
                <w:sz w:val="24"/>
              </w:rPr>
            </w:pPr>
            <w:r>
              <w:rPr>
                <w:rFonts w:hint="eastAsia" w:ascii="楷体" w:hAnsi="楷体" w:eastAsia="楷体"/>
                <w:color w:val="000000"/>
                <w:sz w:val="24"/>
              </w:rPr>
              <w:t>底盖采用可靠的锁紧装置，可以自锁，在停电和停气的情况下，仍能保证可靠密封。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配备提取罐各段夹套的疏水阀，每段提取罐夹套单独配备疏水阀，疏水阀后的排放管路汇总。疏水阀的选型要保证足够的排水能力，需选择具备自动排空气装置的疏水阀。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设备的蒸汽调节装置应当能够精确调整各段的进气量大小。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设备正常使用条件下使用寿命：＞15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宋体" w:hAnsi="宋体" w:cs="宋体"/>
                <w:color w:val="000000"/>
                <w:sz w:val="24"/>
              </w:rPr>
              <w:t>自动控制方面（安全报警、运行参数、与设备的接口、技术系统要求等）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控制柜、操作箱、操作按钮需耐高温。控制柜、操作箱有良好的散热性能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关键部件采用国内外知名品牌。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URS049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气动元件区采用国外知名品牌，控制面板具备三级权限，具备存储功能，记录关键工艺参数，并可以导出。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URS050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设备应有过载保护、漏电保护装置，当设备功能失调或者故障的情况下，必须配备必要的保护措施保证设备和产品仍然处于安全状态。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URS051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电气系统的安全性能应符合相应的国家标准。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宋体" w:hAnsi="宋体" w:cs="宋体"/>
                <w:color w:val="000000"/>
                <w:sz w:val="24"/>
              </w:rPr>
              <w:t>功能要求和质量标准（设备需达到的性能功能的需求和相应的质量标准等尽量数字化）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URS052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楷体" w:hAnsi="楷体" w:eastAsia="楷体"/>
                <w:sz w:val="24"/>
              </w:rPr>
            </w:pPr>
            <w:r>
              <w:rPr>
                <w:rFonts w:hint="eastAsia" w:ascii="楷体" w:hAnsi="楷体" w:eastAsia="楷体"/>
                <w:sz w:val="24"/>
              </w:rPr>
              <w:t>供方应提供可通过最新版GMP认证审核的标准文件。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URS053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楷体" w:hAnsi="楷体" w:eastAsia="楷体"/>
                <w:sz w:val="24"/>
              </w:rPr>
            </w:pPr>
            <w:r>
              <w:rPr>
                <w:rFonts w:hint="eastAsia" w:ascii="楷体" w:hAnsi="楷体" w:eastAsia="楷体"/>
                <w:sz w:val="24"/>
              </w:rPr>
              <w:t>提供文件清单，所有文件资料需提供纸质与电子版各两份，电子版能修改。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URS054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楷体" w:hAnsi="楷体" w:eastAsia="楷体"/>
                <w:sz w:val="24"/>
              </w:rPr>
            </w:pPr>
            <w:r>
              <w:rPr>
                <w:rFonts w:hint="eastAsia" w:ascii="楷体" w:hAnsi="楷体" w:eastAsia="楷体"/>
                <w:sz w:val="24"/>
              </w:rPr>
              <w:t>供方提供设备使用说明书及保养说明书。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URS055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楷体" w:hAnsi="楷体" w:eastAsia="楷体"/>
                <w:sz w:val="24"/>
              </w:rPr>
            </w:pPr>
            <w:r>
              <w:rPr>
                <w:rFonts w:hint="eastAsia" w:ascii="楷体" w:hAnsi="楷体" w:eastAsia="楷体"/>
                <w:sz w:val="24"/>
              </w:rPr>
              <w:t>各电气控制程序提供一份备件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技术规范的要求（与工艺设备相关的法律法规和合规性，备品备件、易耗品、计量仪器、噪音水平等）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URS056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设备应当标注易损件清单。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宋体" w:hAnsi="宋体" w:cs="宋体"/>
                <w:color w:val="000000"/>
                <w:sz w:val="24"/>
              </w:rPr>
            </w:pPr>
            <w:r>
              <w:rPr>
                <w:rFonts w:hint="eastAsia" w:ascii="宋体" w:hAnsi="宋体" w:cs="宋体"/>
                <w:color w:val="000000"/>
                <w:sz w:val="24"/>
              </w:rPr>
              <w:t xml:space="preserve"> URS057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设备要低噪音。（标明声音分贝）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楷体" w:hAnsi="楷体" w:eastAsia="楷体"/>
                <w:sz w:val="24"/>
              </w:rPr>
            </w:pPr>
            <w:r>
              <w:rPr>
                <w:rFonts w:hint="eastAsia" w:ascii="宋体" w:hAnsi="宋体" w:cs="宋体"/>
                <w:color w:val="000000"/>
                <w:sz w:val="24"/>
              </w:rPr>
              <w:t>URS058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温度、压力表、流量计、探头等仪器仪表清单和相关校验报告或计量合格证书。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文件要求（图纸清单、数据清单、备品备件清单、使用和维护手册清单、验证方案和验证报告清单、证明文件清单等）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URS05</w:t>
            </w:r>
            <w:r>
              <w:rPr>
                <w:rFonts w:hint="eastAsia" w:ascii="宋体" w:hAnsi="宋体" w:cs="宋体"/>
                <w:color w:val="000000"/>
                <w:sz w:val="24"/>
                <w:lang w:eastAsia="zh-CN"/>
              </w:rPr>
              <w:t>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要求电气线缆均有标号，并有详细的电气图纸。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w:t>
            </w:r>
            <w:r>
              <w:rPr>
                <w:rFonts w:hint="eastAsia" w:ascii="宋体" w:hAnsi="宋体" w:cs="宋体"/>
                <w:color w:val="000000"/>
                <w:sz w:val="24"/>
                <w:lang w:eastAsia="zh-CN"/>
              </w:rPr>
              <w:t>60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须提供文件清单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关键元配件的使用说明书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须提供机器操作保养手册或说明书、故障排除说明书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质保期满后供应商应提供硬件和软件文件拷贝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须提供电路控制线路图(电路之配线以符号标明于接在线以便核查)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须协助用户编写确认文件，并与用户共同完成验证确认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供货、现场安装及售后服务要求（应提供项目完善的资料档案、测试的要求，验证文件、现场操作和维护保养的培训，清洗消毒要求等）</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货物包装须应适于长途运输，以确保货物安全运抵现场。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楷体" w:hAnsi="楷体" w:eastAsia="楷体"/>
                <w:sz w:val="24"/>
              </w:rPr>
            </w:pPr>
            <w:r>
              <w:rPr>
                <w:rFonts w:hint="eastAsia" w:ascii="楷体" w:hAnsi="楷体" w:eastAsia="楷体"/>
                <w:sz w:val="24"/>
              </w:rPr>
              <w:t>运输时间包含在供货周期内，供方负责运输，并承担运输费用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楷体" w:hAnsi="楷体" w:eastAsia="楷体"/>
                <w:sz w:val="24"/>
              </w:rPr>
            </w:pPr>
            <w:r>
              <w:rPr>
                <w:rFonts w:hint="eastAsia" w:ascii="楷体" w:hAnsi="楷体" w:eastAsia="楷体"/>
                <w:sz w:val="24"/>
              </w:rPr>
              <w:t>机器到货清单必须详列每装箱内容物。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URS06</w:t>
            </w:r>
            <w:r>
              <w:rPr>
                <w:rFonts w:hint="eastAsia" w:ascii="宋体" w:hAnsi="宋体" w:cs="宋体"/>
                <w:color w:val="000000"/>
                <w:sz w:val="24"/>
                <w:lang w:eastAsia="zh-CN"/>
              </w:rPr>
              <w:t>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楷体" w:hAnsi="楷体" w:eastAsia="楷体"/>
                <w:sz w:val="24"/>
              </w:rPr>
            </w:pPr>
            <w:r>
              <w:rPr>
                <w:rFonts w:hint="eastAsia" w:ascii="楷体" w:hAnsi="楷体" w:eastAsia="楷体"/>
                <w:sz w:val="24"/>
              </w:rPr>
              <w:t>机器到需方工厂后由需方负责卸车、吊装搬运就位（这个应是供方负责）。供方负责安装调试。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w:t>
            </w:r>
            <w:r>
              <w:rPr>
                <w:rFonts w:hint="eastAsia" w:ascii="宋体" w:hAnsi="宋体" w:cs="宋体"/>
                <w:color w:val="000000"/>
                <w:sz w:val="24"/>
                <w:lang w:eastAsia="zh-CN"/>
              </w:rPr>
              <w:t>70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楷体" w:hAnsi="楷体" w:eastAsia="楷体"/>
                <w:sz w:val="24"/>
              </w:rPr>
            </w:pPr>
            <w:r>
              <w:rPr>
                <w:rFonts w:hint="eastAsia" w:ascii="楷体" w:hAnsi="楷体" w:eastAsia="楷体"/>
                <w:sz w:val="24"/>
              </w:rPr>
              <w:t>设备安装定位由供方负责。设备部件之间的安装和连接由供方全权负责，需方派人员协助开展工作。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URS07</w:t>
            </w:r>
            <w:r>
              <w:rPr>
                <w:rFonts w:hint="eastAsia" w:ascii="宋体" w:hAnsi="宋体" w:cs="宋体"/>
                <w:color w:val="000000"/>
                <w:sz w:val="24"/>
                <w:lang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楷体" w:hAnsi="楷体" w:eastAsia="楷体"/>
                <w:sz w:val="24"/>
                <w:lang w:val="en-US" w:eastAsia="zh-CN"/>
              </w:rPr>
            </w:pPr>
            <w:r>
              <w:rPr>
                <w:rFonts w:hint="eastAsia" w:ascii="楷体" w:hAnsi="楷体" w:eastAsia="楷体"/>
                <w:sz w:val="24"/>
                <w:lang w:val="en-US" w:eastAsia="zh-CN"/>
              </w:rPr>
              <w:t>安装环境为非洁净区。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URS07</w:t>
            </w:r>
            <w:r>
              <w:rPr>
                <w:rFonts w:hint="eastAsia" w:ascii="宋体" w:hAnsi="宋体" w:cs="宋体"/>
                <w:color w:val="000000"/>
                <w:sz w:val="24"/>
                <w:lang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楷体" w:hAnsi="楷体" w:eastAsia="楷体"/>
                <w:sz w:val="24"/>
                <w:lang w:val="en-US" w:eastAsia="zh-CN"/>
              </w:rPr>
            </w:pPr>
            <w:r>
              <w:rPr>
                <w:rFonts w:hint="eastAsia" w:ascii="楷体" w:hAnsi="楷体" w:eastAsia="楷体"/>
                <w:sz w:val="24"/>
                <w:lang w:val="en-US" w:eastAsia="zh-CN"/>
              </w:rPr>
              <w:t>应提供设备的外形尺寸图及设备的安装布置图。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URS07</w:t>
            </w:r>
            <w:r>
              <w:rPr>
                <w:rFonts w:hint="eastAsia" w:ascii="宋体" w:hAnsi="宋体" w:cs="宋体"/>
                <w:color w:val="000000"/>
                <w:sz w:val="24"/>
                <w:lang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设备周围应有足够的操作和维修空间，便于对设备进行操作和维修。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URS07</w:t>
            </w:r>
            <w:r>
              <w:rPr>
                <w:rFonts w:hint="eastAsia" w:ascii="宋体" w:hAnsi="宋体" w:cs="宋体"/>
                <w:color w:val="000000"/>
                <w:sz w:val="24"/>
                <w:lang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楷体" w:hAnsi="楷体" w:eastAsia="楷体"/>
                <w:sz w:val="24"/>
                <w:lang w:val="en-US" w:eastAsia="zh-CN"/>
              </w:rPr>
            </w:pPr>
            <w:r>
              <w:rPr>
                <w:rFonts w:hint="eastAsia" w:ascii="楷体" w:hAnsi="楷体" w:eastAsia="楷体"/>
                <w:sz w:val="24"/>
                <w:lang w:val="en-US" w:eastAsia="zh-CN"/>
              </w:rPr>
              <w:t>供应商应标明公用系统（电、气等）接口位置及参数。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URS07</w:t>
            </w:r>
            <w:r>
              <w:rPr>
                <w:rFonts w:hint="eastAsia" w:ascii="宋体" w:hAnsi="宋体" w:cs="宋体"/>
                <w:color w:val="000000"/>
                <w:sz w:val="24"/>
                <w:lang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楷体" w:hAnsi="楷体" w:eastAsia="楷体"/>
                <w:sz w:val="24"/>
                <w:lang w:val="en-US" w:eastAsia="zh-CN"/>
              </w:rPr>
            </w:pPr>
            <w:r>
              <w:rPr>
                <w:rFonts w:hint="eastAsia" w:ascii="楷体" w:hAnsi="楷体" w:eastAsia="楷体"/>
                <w:sz w:val="24"/>
                <w:lang w:val="en-US" w:eastAsia="zh-CN"/>
              </w:rPr>
              <w:t>提供设备详细所需动力系统和厂房设施配套要求，并协助用户完成安装施工图设计。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URS07</w:t>
            </w:r>
            <w:r>
              <w:rPr>
                <w:rFonts w:hint="eastAsia" w:ascii="宋体" w:hAnsi="宋体" w:cs="宋体"/>
                <w:color w:val="000000"/>
                <w:sz w:val="24"/>
                <w:lang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楷体" w:hAnsi="楷体" w:eastAsia="楷体"/>
                <w:kern w:val="2"/>
                <w:lang w:eastAsia="zh-CN"/>
              </w:rPr>
            </w:pPr>
            <w:r>
              <w:rPr>
                <w:rFonts w:hint="eastAsia" w:ascii="楷体" w:hAnsi="楷体" w:eastAsia="楷体"/>
                <w:kern w:val="2"/>
                <w:lang w:eastAsia="zh-CN"/>
              </w:rPr>
              <w:t>1、终验收在买方工厂进行，卖方负责在买方现场安装、调试设备，并对操作、维修等人员进行技术培训。</w:t>
            </w:r>
          </w:p>
          <w:p>
            <w:pPr>
              <w:pStyle w:val="152"/>
              <w:rPr>
                <w:rFonts w:ascii="楷体" w:hAnsi="楷体" w:eastAsia="楷体"/>
                <w:kern w:val="2"/>
                <w:lang w:eastAsia="zh-CN"/>
              </w:rPr>
            </w:pPr>
            <w:r>
              <w:rPr>
                <w:rFonts w:hint="eastAsia" w:ascii="楷体" w:hAnsi="楷体" w:eastAsia="楷体"/>
                <w:kern w:val="2"/>
                <w:lang w:eastAsia="zh-CN"/>
              </w:rPr>
              <w:t>2、卖方负责协助买方进行相关验证活动，并对验证中出现的问题提出对策和解决方案。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URS07</w:t>
            </w:r>
            <w:r>
              <w:rPr>
                <w:rFonts w:hint="eastAsia" w:ascii="宋体" w:hAnsi="宋体" w:cs="宋体"/>
                <w:color w:val="000000"/>
                <w:sz w:val="24"/>
                <w:lang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楷体" w:hAnsi="楷体" w:eastAsia="楷体"/>
                <w:kern w:val="2"/>
                <w:lang w:eastAsia="zh-CN"/>
              </w:rPr>
            </w:pPr>
            <w:r>
              <w:rPr>
                <w:rFonts w:hint="eastAsia" w:ascii="楷体" w:hAnsi="楷体" w:eastAsia="楷体"/>
                <w:kern w:val="2"/>
                <w:lang w:eastAsia="zh-CN"/>
              </w:rPr>
              <w:t>供应商进厂施工需遵守我方施工规则施工。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URS07</w:t>
            </w:r>
            <w:r>
              <w:rPr>
                <w:rFonts w:hint="eastAsia" w:ascii="宋体" w:hAnsi="宋体" w:cs="宋体"/>
                <w:color w:val="000000"/>
                <w:sz w:val="24"/>
                <w:lang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楷体" w:hAnsi="楷体" w:eastAsia="楷体"/>
                <w:kern w:val="2"/>
                <w:lang w:eastAsia="zh-CN"/>
              </w:rPr>
            </w:pPr>
            <w:r>
              <w:rPr>
                <w:rFonts w:hint="eastAsia" w:ascii="楷体" w:hAnsi="楷体" w:eastAsia="楷体"/>
                <w:kern w:val="2"/>
                <w:lang w:eastAsia="zh-CN"/>
              </w:rPr>
              <w:t>负责对技术管理人员、操作人员、维修人员进行结构原理、性能、操作、维修、故障排除等基本知识的培训，使我公司各专业人员达到一定熟练程度，由双方人员认可，费用由供应商自理。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URS07</w:t>
            </w:r>
            <w:r>
              <w:rPr>
                <w:rFonts w:hint="eastAsia" w:ascii="宋体" w:hAnsi="宋体" w:cs="宋体"/>
                <w:color w:val="000000"/>
                <w:sz w:val="24"/>
                <w:lang w:eastAsia="zh-CN"/>
              </w:rPr>
              <w:t>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楷体" w:hAnsi="楷体" w:eastAsia="楷体"/>
                <w:sz w:val="24"/>
              </w:rPr>
              <w:t>本机保修期限1年,有效日为安装试车完成验收日起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w:t>
            </w:r>
            <w:r>
              <w:rPr>
                <w:rFonts w:hint="eastAsia" w:ascii="宋体" w:hAnsi="宋体" w:cs="宋体"/>
                <w:color w:val="000000"/>
                <w:sz w:val="24"/>
                <w:lang w:eastAsia="zh-CN"/>
              </w:rPr>
              <w:t>80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楷体" w:hAnsi="楷体" w:eastAsia="楷体"/>
                <w:sz w:val="24"/>
              </w:rPr>
              <w:t>设备供应商负责所有技术指导、电话咨询及人员培训，包括：操作、设备维护、设备性能及问题解答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URS08</w:t>
            </w:r>
            <w:r>
              <w:rPr>
                <w:rFonts w:hint="eastAsia" w:ascii="宋体" w:hAnsi="宋体" w:cs="宋体"/>
                <w:color w:val="000000"/>
                <w:sz w:val="24"/>
                <w:lang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楷体" w:hAnsi="楷体" w:eastAsia="楷体"/>
                <w:sz w:val="24"/>
              </w:rPr>
              <w:t>厂家负责设备终身维修和备件提供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2471"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URS08</w:t>
            </w:r>
            <w:r>
              <w:rPr>
                <w:rFonts w:hint="eastAsia" w:ascii="宋体" w:hAnsi="宋体" w:cs="宋体"/>
                <w:color w:val="000000"/>
                <w:sz w:val="24"/>
                <w:lang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楷体" w:hAnsi="楷体" w:eastAsia="楷体"/>
                <w:sz w:val="24"/>
              </w:rPr>
            </w:pPr>
            <w:r>
              <w:rPr>
                <w:rFonts w:hint="eastAsia" w:ascii="楷体" w:hAnsi="楷体" w:eastAsia="楷体"/>
                <w:sz w:val="24"/>
              </w:rPr>
              <w:t>供方提供设备安装、调试、验证工作，并注明设备安装调试周期及校验时间；提供安装确认方案（IQ）、</w:t>
            </w:r>
            <w:r>
              <w:rPr>
                <w:rFonts w:ascii="楷体" w:hAnsi="楷体" w:eastAsia="楷体"/>
                <w:sz w:val="24"/>
              </w:rPr>
              <w:t>运行</w:t>
            </w:r>
            <w:r>
              <w:rPr>
                <w:rFonts w:hint="eastAsia" w:ascii="楷体" w:hAnsi="楷体" w:eastAsia="楷体"/>
                <w:sz w:val="24"/>
              </w:rPr>
              <w:t>确认方案（</w:t>
            </w:r>
            <w:r>
              <w:rPr>
                <w:rFonts w:ascii="楷体" w:hAnsi="楷体" w:eastAsia="楷体"/>
                <w:sz w:val="24"/>
              </w:rPr>
              <w:t>O</w:t>
            </w:r>
            <w:r>
              <w:rPr>
                <w:rFonts w:hint="eastAsia" w:ascii="楷体" w:hAnsi="楷体" w:eastAsia="楷体"/>
                <w:sz w:val="24"/>
              </w:rPr>
              <w:t>Q）、性能确认方案（</w:t>
            </w:r>
            <w:r>
              <w:rPr>
                <w:rFonts w:ascii="楷体" w:hAnsi="楷体" w:eastAsia="楷体"/>
                <w:sz w:val="24"/>
              </w:rPr>
              <w:t>P</w:t>
            </w:r>
            <w:r>
              <w:rPr>
                <w:rFonts w:hint="eastAsia" w:ascii="楷体" w:hAnsi="楷体" w:eastAsia="楷体"/>
                <w:sz w:val="24"/>
              </w:rPr>
              <w:t>Q），并协助完成确认。</w:t>
            </w:r>
          </w:p>
          <w:p>
            <w:pPr>
              <w:rPr>
                <w:rFonts w:ascii="楷体" w:hAnsi="楷体" w:eastAsia="楷体"/>
                <w:sz w:val="24"/>
              </w:rPr>
            </w:pPr>
            <w:r>
              <w:rPr>
                <w:rFonts w:hint="eastAsia" w:ascii="楷体" w:hAnsi="楷体" w:eastAsia="楷体"/>
                <w:sz w:val="24"/>
              </w:rPr>
              <w:t>本机使用之两年内已损坏备品零件一套。机器试车后于保修期限内其消耗品或电子零件故障需由供应商负责免费供应修缮或更换。且维修需要在2天内到现场。维修期限内供应商每年至现场免费检修一次。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宋体" w:hAnsi="宋体" w:cs="宋体"/>
                <w:color w:val="000000"/>
                <w:sz w:val="24"/>
              </w:rPr>
            </w:pPr>
            <w:r>
              <w:rPr>
                <w:rFonts w:hint="eastAsia" w:ascii="宋体" w:hAnsi="宋体" w:cs="宋体"/>
                <w:color w:val="000000"/>
                <w:sz w:val="24"/>
              </w:rPr>
              <w:t>对工艺设备购置合同的信息要求（工艺流程图/安装操作图，设备部件规格，标有设备部件位置和主要尺寸的布局图，材料的标准和处理标准，主要部件的尺寸和质量等）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楷体" w:hAnsi="楷体" w:eastAsia="楷体"/>
                <w:sz w:val="24"/>
              </w:rPr>
              <w:t>供应商具有生产此类设备的资质。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楷体" w:hAnsi="楷体" w:eastAsia="楷体"/>
                <w:sz w:val="24"/>
              </w:rPr>
              <w:t>供应商可提供安装、调试、培训等技术支持。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楷体" w:hAnsi="楷体" w:eastAsia="楷体"/>
                <w:sz w:val="24"/>
              </w:rPr>
              <w:t>拥有同类设备的厂家对供应商的反映良好。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楷体" w:hAnsi="楷体" w:eastAsia="楷体"/>
                <w:sz w:val="24"/>
              </w:rPr>
            </w:pPr>
            <w:r>
              <w:rPr>
                <w:rFonts w:hint="eastAsia" w:ascii="宋体" w:hAnsi="宋体" w:cs="宋体"/>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146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本规格表中基本规格内容，技术数据及参考文件等各大项中所提及各项要求供应商提供资料，若有任何问题应于契约订定前先知会我方，在合约上说明，否则各项均列入设备到货验收时之依据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1503"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供应商在报价中需要将所有需要提供的辅助设施（如：水、电、蒸汽、压缩空气、支架等）列举清楚。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1031"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本URS作为合同的补充条款，作为到货验收的依据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1429"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eastAsia="宋体" w:cs="宋体"/>
                <w:color w:val="000000"/>
                <w:sz w:val="24"/>
                <w:lang w:eastAsia="zh-CN"/>
              </w:rPr>
            </w:pPr>
            <w:r>
              <w:rPr>
                <w:rFonts w:hint="eastAsia" w:ascii="宋体" w:hAnsi="宋体" w:cs="宋体"/>
                <w:color w:val="000000"/>
                <w:sz w:val="24"/>
              </w:rPr>
              <w:t xml:space="preserve"> URS08</w:t>
            </w:r>
            <w:r>
              <w:rPr>
                <w:rFonts w:hint="eastAsia" w:ascii="宋体" w:hAnsi="宋体" w:cs="宋体"/>
                <w:color w:val="000000"/>
                <w:sz w:val="24"/>
                <w:lang w:eastAsia="zh-CN"/>
              </w:rPr>
              <w:t>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楷体" w:hAnsi="楷体" w:eastAsia="楷体"/>
                <w:kern w:val="2"/>
                <w:lang w:eastAsia="zh-CN"/>
              </w:rPr>
              <w:t>供应商对URS中的项目要求条款予以确认，有偏离的做对应的详细说明。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宋体" w:hAnsi="宋体" w:cs="宋体"/>
                <w:color w:val="000000"/>
                <w:kern w:val="2"/>
                <w:lang w:eastAsia="zh-CN"/>
              </w:rPr>
              <w:t>本URS条款为最低要求，如有更高配置请加以说明</w:t>
            </w:r>
          </w:p>
        </w:tc>
      </w:tr>
    </w:tbl>
    <w:p>
      <w:pPr>
        <w:bidi w:val="0"/>
        <w:jc w:val="left"/>
        <w:rPr>
          <w:rFonts w:hint="eastAsia"/>
          <w:b/>
          <w:bCs/>
          <w:sz w:val="24"/>
          <w:szCs w:val="24"/>
          <w:lang w:val="en-US" w:eastAsia="zh-CN"/>
        </w:rPr>
      </w:pPr>
    </w:p>
    <w:p>
      <w:pPr>
        <w:bidi w:val="0"/>
        <w:jc w:val="left"/>
        <w:rPr>
          <w:rFonts w:hint="eastAsia"/>
          <w:b/>
          <w:bCs/>
          <w:sz w:val="24"/>
          <w:szCs w:val="24"/>
          <w:lang w:val="en-US" w:eastAsia="zh-CN"/>
        </w:rPr>
      </w:pPr>
    </w:p>
    <w:p>
      <w:pPr>
        <w:bidi w:val="0"/>
        <w:jc w:val="left"/>
        <w:rPr>
          <w:rFonts w:hint="eastAsia"/>
          <w:b/>
          <w:bCs/>
          <w:sz w:val="24"/>
          <w:szCs w:val="24"/>
          <w:lang w:val="en-US" w:eastAsia="zh-CN"/>
        </w:rPr>
      </w:pPr>
      <w:r>
        <w:rPr>
          <w:rFonts w:hint="eastAsia"/>
          <w:b/>
          <w:bCs/>
          <w:sz w:val="24"/>
          <w:szCs w:val="24"/>
          <w:lang w:val="en-US" w:eastAsia="zh-CN"/>
        </w:rPr>
        <w:t>附件三：</w:t>
      </w:r>
    </w:p>
    <w:tbl>
      <w:tblPr>
        <w:tblStyle w:val="51"/>
        <w:tblW w:w="16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371"/>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概述</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目的及用途：</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将初步浓缩后的待醇沉浸膏打入醇沉罐内，冷却后加入乙醇搅拌醇沉的设备</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安装位置：</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三楼醇提间</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参考文献：</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&lt;药品生产质量管理规范&gt;(2010)  。</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 xml:space="preserve">《中华人民共和国药品管理法》  。 </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《中华人民共和国药品管理法实施条例》。</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 xml:space="preserve">《中国药典》2020版  GBZ-2010工业企业设计卫生标准 。 </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GB20021-2004中华人民共和国制药机械行业标准  。</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中国制药装备协会所颁布的制药工程设备标准、ISO9000、ISO14000、OSAHS18000、GB150 （中国压力容器标准）</w:t>
            </w:r>
          </w:p>
          <w:p>
            <w:pPr>
              <w:snapToGrid w:val="0"/>
              <w:spacing w:line="300" w:lineRule="auto"/>
              <w:jc w:val="left"/>
              <w:rPr>
                <w:rFonts w:ascii="仿宋" w:hAnsi="仿宋" w:eastAsia="仿宋" w:cs="宋体"/>
                <w:color w:val="auto"/>
                <w:sz w:val="24"/>
                <w:szCs w:val="24"/>
              </w:rPr>
            </w:pPr>
            <w:r>
              <w:rPr>
                <w:rFonts w:hint="eastAsia" w:ascii="仿宋" w:hAnsi="仿宋" w:eastAsia="仿宋"/>
                <w:color w:val="auto"/>
                <w:sz w:val="24"/>
                <w:szCs w:val="24"/>
              </w:rPr>
              <w:t xml:space="preserve">  GB-52261-2002 机械安全机械电气设备第一部分：通用技术条件 GB-12265-90 机械防护安全要求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综述（供货范围、工艺过程、主要特点等）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9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URS001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宋体"/>
                <w:color w:val="auto"/>
                <w:sz w:val="24"/>
                <w:szCs w:val="24"/>
                <w:highlight w:val="none"/>
              </w:rPr>
            </w:pPr>
            <w:r>
              <w:rPr>
                <w:rFonts w:hint="eastAsia" w:ascii="仿宋" w:hAnsi="仿宋" w:eastAsia="仿宋"/>
                <w:color w:val="auto"/>
                <w:sz w:val="24"/>
                <w:szCs w:val="24"/>
                <w:highlight w:val="none"/>
              </w:rPr>
              <w:t>供货范围：1.5立方醇沉罐</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台；两台需要配备钢平台与现有设备一致。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URS002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ind w:left="12"/>
              <w:jc w:val="left"/>
              <w:rPr>
                <w:rFonts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技术参数：</w:t>
            </w:r>
          </w:p>
          <w:p>
            <w:pPr>
              <w:snapToGrid w:val="0"/>
              <w:spacing w:line="30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设备的各个部件应符合防爆的要求，设备各部位材质应当符合GMP要求，设备在生产中符合工艺要求，各个部件符合防爆要求，部件无死角，易彻底清洗消毒。</w:t>
            </w:r>
          </w:p>
          <w:p>
            <w:pPr>
              <w:snapToGrid w:val="0"/>
              <w:spacing w:line="30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供方提供原设备拆除、新设备运输、安装、调试、验证工作，并注明设备安装调试周期及校验时间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工艺方面（工艺过程流程图、产量规格型号、工作环境等）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URS003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olor w:val="auto"/>
                <w:sz w:val="24"/>
                <w:szCs w:val="24"/>
                <w:highlight w:val="none"/>
              </w:rPr>
              <w:t>设备内外表面应当光滑、无死角、易于清洁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URS004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olor w:val="auto"/>
                <w:sz w:val="24"/>
                <w:szCs w:val="24"/>
                <w:highlight w:val="none"/>
              </w:rPr>
              <w:t>设备有效容积： 1500L数量：</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URS005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highlight w:val="none"/>
              </w:rPr>
              <w:t>设备的设计使用寿命不少于15年。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URS00</w:t>
            </w:r>
            <w:r>
              <w:rPr>
                <w:rFonts w:hint="eastAsia" w:ascii="仿宋" w:hAnsi="仿宋" w:eastAsia="仿宋" w:cs="宋体"/>
                <w:color w:val="000000"/>
                <w:sz w:val="24"/>
                <w:szCs w:val="24"/>
                <w:lang w:val="en-US"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default" w:ascii="仿宋" w:hAnsi="仿宋" w:eastAsia="仿宋"/>
                <w:color w:val="auto"/>
                <w:sz w:val="24"/>
                <w:szCs w:val="24"/>
                <w:lang w:val="en-US" w:eastAsia="zh-CN"/>
              </w:rPr>
            </w:pPr>
            <w:r>
              <w:rPr>
                <w:rFonts w:hint="eastAsia" w:ascii="仿宋" w:hAnsi="仿宋" w:eastAsia="仿宋"/>
                <w:color w:val="auto"/>
                <w:sz w:val="24"/>
                <w:szCs w:val="24"/>
                <w:highlight w:val="none"/>
              </w:rPr>
              <w:t>设备应配备变频调速电机及自带搅拌功能，设备搅拌速度应当能够满足醇沉浸膏与乙醇充分融合，满足生产需求</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电机应有自保护功能，能够防止烧坏。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机械方面（设备/设施机械部分系统图、配套公用设施、材质要求、表面处理、电器设备/设施布局图等）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URS00</w:t>
            </w:r>
            <w:r>
              <w:rPr>
                <w:rFonts w:hint="eastAsia" w:ascii="仿宋" w:hAnsi="仿宋" w:eastAsia="仿宋" w:cs="宋体"/>
                <w:color w:val="000000"/>
                <w:sz w:val="24"/>
                <w:szCs w:val="24"/>
                <w:lang w:val="en-US"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设备易于清洁，符合GMP清洁要求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URS00</w:t>
            </w:r>
            <w:r>
              <w:rPr>
                <w:rFonts w:hint="eastAsia" w:ascii="仿宋" w:hAnsi="仿宋" w:eastAsia="仿宋" w:cs="宋体"/>
                <w:color w:val="000000"/>
                <w:sz w:val="24"/>
                <w:szCs w:val="24"/>
                <w:lang w:val="en-US"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罐体材质：优质sus304 不锈钢，材质成分、厚度要求按国标标准（GB/T3280-2007）；附材质证明文件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URS00</w:t>
            </w:r>
            <w:r>
              <w:rPr>
                <w:rFonts w:hint="eastAsia" w:ascii="仿宋" w:hAnsi="仿宋" w:eastAsia="仿宋" w:cs="宋体"/>
                <w:color w:val="000000"/>
                <w:sz w:val="24"/>
                <w:szCs w:val="24"/>
                <w:lang w:val="en-US" w:eastAsia="zh-CN"/>
              </w:rPr>
              <w:t>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设备整体设计符合新版GMP 相关规范，避免交叉污染、泄漏污染、异物脱落、局部温升对药品质量的影响。与药品直接接触（包括密封，螺丝，垫片等）的金属部分材质均采用要求的SUS304，非金属部件采用聚四氟乙烯、硅橡胶等GMP 认可的无毒材料；其它部件采用不锈钢材质，严防生锈。特别注意设备加工问题对药品内在质量的影响：传动轴密封时确保不会因润滑油泄露，对物料造成污染；密封材料使用耐高温、耐酸碱腐蚀、不易脱落、符合新版GMP 要求的材质；提供相应的证明材料。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10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设备内表面（与物料接触部分）机械抛光，表面粗糙度≤0.45μm, 材质为sus304，厚度：≥8mm；提取罐在出厂前买方到卖方工厂进行FAT，并对内表面粗糙度进行现场测量，合格后方可出厂。附粗糙度证明文件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URS01</w:t>
            </w:r>
            <w:r>
              <w:rPr>
                <w:rFonts w:hint="eastAsia" w:ascii="仿宋" w:hAnsi="仿宋" w:eastAsia="仿宋" w:cs="宋体"/>
                <w:color w:val="000000"/>
                <w:sz w:val="24"/>
                <w:szCs w:val="24"/>
                <w:lang w:val="en-US"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 w:hAnsi="仿宋" w:eastAsia="仿宋"/>
                <w:color w:val="auto"/>
                <w:sz w:val="24"/>
                <w:szCs w:val="24"/>
                <w:lang w:val="en-US" w:eastAsia="zh-CN"/>
              </w:rPr>
            </w:pPr>
            <w:r>
              <w:rPr>
                <w:rFonts w:hint="eastAsia" w:ascii="仿宋" w:hAnsi="仿宋" w:eastAsia="仿宋"/>
                <w:color w:val="auto"/>
                <w:sz w:val="24"/>
                <w:szCs w:val="24"/>
              </w:rPr>
              <w:t>设备内部无死角，便于清洁、拆卸与维修，内表面光滑、整洁、美观，过渡处有倒角和圆角处理，不得有明显的凸瘤、凹陷、毛刺、划痕、碰伤和锈蚀现象；各金属焊缝或焊点应做抛光、钝化处理，焊接表面应均匀、完整，不得有疤痕、夹渣及气孔等现象，并需充分考虑工期内设备应力的消除。设备材质及光洁度要求满足新版GMP 要求</w:t>
            </w:r>
            <w:r>
              <w:rPr>
                <w:rFonts w:hint="eastAsia" w:ascii="仿宋" w:hAnsi="仿宋" w:eastAsia="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URS01</w:t>
            </w:r>
            <w:r>
              <w:rPr>
                <w:rFonts w:hint="eastAsia" w:ascii="仿宋" w:hAnsi="仿宋" w:eastAsia="仿宋" w:cs="宋体"/>
                <w:color w:val="000000"/>
                <w:sz w:val="24"/>
                <w:szCs w:val="24"/>
                <w:lang w:val="en-US"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设备外表面采用喷砂或亚光处理。投标方在投标时提供喷砂和亚光处理的样板，验收时以样板为验收标准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URS01</w:t>
            </w:r>
            <w:r>
              <w:rPr>
                <w:rFonts w:hint="eastAsia" w:ascii="仿宋" w:hAnsi="仿宋" w:eastAsia="仿宋" w:cs="宋体"/>
                <w:color w:val="000000"/>
                <w:sz w:val="24"/>
                <w:szCs w:val="24"/>
                <w:lang w:val="en-US"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设备的传动部件等各传动件应能满足最大产量要求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URS01</w:t>
            </w:r>
            <w:r>
              <w:rPr>
                <w:rFonts w:hint="eastAsia" w:ascii="仿宋" w:hAnsi="仿宋" w:eastAsia="仿宋" w:cs="宋体"/>
                <w:color w:val="000000"/>
                <w:sz w:val="24"/>
                <w:szCs w:val="24"/>
                <w:lang w:val="en-US"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设备的旋转部件应有安全防护装置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URS01</w:t>
            </w:r>
            <w:r>
              <w:rPr>
                <w:rFonts w:hint="eastAsia" w:ascii="仿宋" w:hAnsi="仿宋" w:eastAsia="仿宋" w:cs="宋体"/>
                <w:color w:val="000000"/>
                <w:sz w:val="24"/>
                <w:szCs w:val="24"/>
                <w:lang w:val="en-US"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设备的平面布置和设计必须按用户现有的场地条件，不能影响其他设施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URS01</w:t>
            </w:r>
            <w:r>
              <w:rPr>
                <w:rFonts w:hint="eastAsia" w:ascii="仿宋" w:hAnsi="仿宋" w:eastAsia="仿宋" w:cs="宋体"/>
                <w:color w:val="000000"/>
                <w:sz w:val="24"/>
                <w:szCs w:val="24"/>
                <w:lang w:val="en-US"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设备结构：设备应当配备夹套功能，能够实现冷却降温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URS01</w:t>
            </w:r>
            <w:r>
              <w:rPr>
                <w:rFonts w:hint="eastAsia" w:ascii="仿宋" w:hAnsi="仿宋" w:eastAsia="仿宋" w:cs="宋体"/>
                <w:color w:val="000000"/>
                <w:sz w:val="24"/>
                <w:szCs w:val="24"/>
                <w:lang w:val="en-US"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设备部件要求为快开式人孔，若干进出口均为卡箍式快接口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URS01</w:t>
            </w:r>
            <w:r>
              <w:rPr>
                <w:rFonts w:hint="eastAsia" w:ascii="仿宋" w:hAnsi="仿宋" w:eastAsia="仿宋" w:cs="宋体"/>
                <w:color w:val="000000"/>
                <w:sz w:val="24"/>
                <w:szCs w:val="24"/>
                <w:lang w:val="en-US"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设备应当具备喷淋清洗功能，能够将罐内有效清洁干净。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color w:val="000000"/>
                <w:sz w:val="24"/>
                <w:szCs w:val="24"/>
              </w:rPr>
            </w:pPr>
            <w:r>
              <w:rPr>
                <w:rFonts w:hint="eastAsia" w:ascii="仿宋" w:hAnsi="仿宋" w:eastAsia="仿宋" w:cs="宋体"/>
                <w:color w:val="000000"/>
                <w:sz w:val="24"/>
                <w:szCs w:val="24"/>
              </w:rPr>
              <w:t>URS019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设备应当配备能够精确计量液位的液位计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传动系统的设计应充分考虑方便拆卸、维护、保养与检修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设备的设计、制造满足相关设备安全设计规范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设备的安全性能符合相关安全标准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自动控制方面（安全报警、运行参数、与设备的接口、技术系统要求等）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控制柜、操作箱、操作按钮需耐高温，防爆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关键部件采用国内外知名品牌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气动元件区采用国外知名品牌，控制面板具备三级权限，具备存储功能，记录关键工艺参数，并可以导出。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设备应有过载保护、漏电保护装置，当设备功能失调或者故障的情况下，必须配备必要的保护措施保证设备和产品仍然处于安全状态。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URS02</w:t>
            </w:r>
            <w:r>
              <w:rPr>
                <w:rFonts w:hint="eastAsia" w:ascii="仿宋" w:hAnsi="仿宋" w:eastAsia="仿宋" w:cs="宋体"/>
                <w:color w:val="000000"/>
                <w:sz w:val="24"/>
                <w:szCs w:val="24"/>
                <w:lang w:val="en-US"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电气系统的安全性能应符合相应的国家标准。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功能要求和质量标准（设备需达到的性能功能的需求和相应的质量标准等尽量数字化）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28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供方应提供可通过最新版GMP认证审核的标准文件。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29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提供文件清单，所有文件资料需提供纸质与电子版各两份，电子版能修改。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30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供方提供设备使用说明书及保养说明书。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URS03</w:t>
            </w:r>
            <w:r>
              <w:rPr>
                <w:rFonts w:hint="eastAsia" w:ascii="仿宋" w:hAnsi="仿宋" w:eastAsia="仿宋" w:cs="宋体"/>
                <w:color w:val="000000"/>
                <w:sz w:val="24"/>
                <w:szCs w:val="24"/>
                <w:lang w:val="en-US"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各电气控制程序提供一份备件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技术规范的要求（与工艺设备相关的法律法规和合规性，备品备件、易耗品、计量仪器、噪音水平等）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URS03</w:t>
            </w:r>
            <w:r>
              <w:rPr>
                <w:rFonts w:hint="eastAsia" w:ascii="仿宋" w:hAnsi="仿宋" w:eastAsia="仿宋" w:cs="宋体"/>
                <w:color w:val="000000"/>
                <w:sz w:val="24"/>
                <w:szCs w:val="24"/>
                <w:lang w:val="en-US"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供方负责所有现场指导与人员培训，包括图纸、工艺，操作、设备维护、设备性能及问题解答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URS03</w:t>
            </w:r>
            <w:r>
              <w:rPr>
                <w:rFonts w:hint="eastAsia" w:ascii="仿宋" w:hAnsi="仿宋" w:eastAsia="仿宋" w:cs="宋体"/>
                <w:color w:val="000000"/>
                <w:sz w:val="24"/>
                <w:szCs w:val="24"/>
                <w:lang w:val="en-US"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负责管理人员、技术人员、维修人员的对设备的原理、性能；维修、操作等培训，双方认可后方可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URS03</w:t>
            </w:r>
            <w:r>
              <w:rPr>
                <w:rFonts w:hint="eastAsia" w:ascii="仿宋" w:hAnsi="仿宋" w:eastAsia="仿宋" w:cs="宋体"/>
                <w:color w:val="000000"/>
                <w:sz w:val="24"/>
                <w:szCs w:val="24"/>
                <w:lang w:val="en-US"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供方提供设备安装、调试、验证工作，并注明设备安装调试周期及校验时间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URS03</w:t>
            </w:r>
            <w:r>
              <w:rPr>
                <w:rFonts w:hint="eastAsia" w:ascii="仿宋" w:hAnsi="仿宋" w:eastAsia="仿宋" w:cs="宋体"/>
                <w:color w:val="000000"/>
                <w:sz w:val="24"/>
                <w:szCs w:val="24"/>
                <w:lang w:val="en-US"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供方负责所有现场指导与人员培训，包括图纸、工艺，操作、设备维护、设备性能及问题解答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URS03</w:t>
            </w:r>
            <w:r>
              <w:rPr>
                <w:rFonts w:hint="eastAsia" w:ascii="仿宋" w:hAnsi="仿宋" w:eastAsia="仿宋" w:cs="宋体"/>
                <w:color w:val="000000"/>
                <w:sz w:val="24"/>
                <w:szCs w:val="24"/>
                <w:lang w:val="en-US"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温度表、压力表、流量计、探头等仪器仪表清单和相关校验报告或计量合格证书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文件要求（图纸清单、数据清单、备品备件清单、使用和维护手册清单、验证方案和验证报告清单、证明文件清单等）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URS03</w:t>
            </w:r>
            <w:r>
              <w:rPr>
                <w:rFonts w:hint="eastAsia" w:ascii="仿宋" w:hAnsi="仿宋" w:eastAsia="仿宋" w:cs="宋体"/>
                <w:color w:val="000000"/>
                <w:sz w:val="24"/>
                <w:szCs w:val="24"/>
                <w:lang w:val="en-US"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olor w:val="auto"/>
                <w:sz w:val="24"/>
                <w:szCs w:val="24"/>
              </w:rPr>
              <w:t>要求电气线缆均有标号，并有详细的电气图纸。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URS03</w:t>
            </w:r>
            <w:r>
              <w:rPr>
                <w:rFonts w:hint="eastAsia" w:ascii="仿宋" w:hAnsi="仿宋" w:eastAsia="仿宋" w:cs="宋体"/>
                <w:color w:val="000000"/>
                <w:sz w:val="24"/>
                <w:szCs w:val="24"/>
                <w:lang w:val="en-US"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须提供文件清单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39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关键元配件的使用说明书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40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须提供机器操作保养手册或说明书、故障排除说明书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3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质保期满后供应商应提供硬件和软件文件拷贝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须提供电路控制线路图(电路之配线以符号标明于接在线以便核查)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10"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须协助用户编写确认文件，并与用户共同完成验证确认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供货、现场安装及售后服务要求（应提供项目完善的资料档案、测试的要求，验证文件、现场操作和维护保养的培训，清洗消毒要求等）</w:t>
            </w:r>
          </w:p>
        </w:tc>
        <w:tc>
          <w:tcPr>
            <w:tcW w:w="6706"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000000"/>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sz w:val="24"/>
                <w:szCs w:val="24"/>
                <w:lang w:val="en-GB" w:eastAsia="zh-CN"/>
              </w:rPr>
              <w:t>货物包装须应适于长途运输，以确保货物安全运抵现场。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color w:val="auto"/>
                <w:sz w:val="24"/>
                <w:szCs w:val="24"/>
              </w:rPr>
            </w:pPr>
            <w:r>
              <w:rPr>
                <w:rFonts w:hint="eastAsia" w:ascii="仿宋" w:hAnsi="仿宋" w:eastAsia="仿宋"/>
                <w:color w:val="auto"/>
                <w:sz w:val="24"/>
                <w:szCs w:val="24"/>
              </w:rPr>
              <w:t>运输时间包含在供货周期内，供方负责运输，并承担运输费用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color w:val="auto"/>
                <w:sz w:val="24"/>
                <w:szCs w:val="24"/>
              </w:rPr>
            </w:pPr>
            <w:r>
              <w:rPr>
                <w:rFonts w:hint="eastAsia" w:ascii="仿宋" w:hAnsi="仿宋" w:eastAsia="仿宋"/>
                <w:color w:val="auto"/>
                <w:sz w:val="24"/>
                <w:szCs w:val="24"/>
              </w:rPr>
              <w:t>机器到货清单必须详列每装箱内容物。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color w:val="auto"/>
                <w:sz w:val="24"/>
                <w:szCs w:val="24"/>
              </w:rPr>
            </w:pPr>
            <w:r>
              <w:rPr>
                <w:rFonts w:hint="eastAsia" w:ascii="仿宋" w:hAnsi="仿宋" w:eastAsia="仿宋"/>
                <w:color w:val="auto"/>
                <w:sz w:val="24"/>
                <w:szCs w:val="24"/>
              </w:rPr>
              <w:t>机器到需方工厂后由需方负责卸车、吊装搬运就位（这个应是供方负责）。供方负责安装调试。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URS04</w:t>
            </w:r>
            <w:r>
              <w:rPr>
                <w:rFonts w:hint="eastAsia" w:ascii="仿宋" w:hAnsi="仿宋" w:eastAsia="仿宋" w:cs="宋体"/>
                <w:color w:val="000000"/>
                <w:sz w:val="24"/>
                <w:szCs w:val="24"/>
                <w:lang w:val="en-US"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ind w:left="12"/>
              <w:rPr>
                <w:rFonts w:ascii="仿宋" w:hAnsi="仿宋" w:eastAsia="仿宋"/>
                <w:color w:val="auto"/>
                <w:sz w:val="24"/>
                <w:szCs w:val="24"/>
              </w:rPr>
            </w:pPr>
            <w:r>
              <w:rPr>
                <w:rFonts w:hint="eastAsia" w:ascii="仿宋" w:hAnsi="仿宋" w:eastAsia="仿宋"/>
                <w:color w:val="auto"/>
                <w:sz w:val="24"/>
                <w:szCs w:val="24"/>
              </w:rPr>
              <w:t>设备安装定位由供方负责。设备部件之间的安装和连接由供方全权负责，需方派人员协助开展工作。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w:t>
            </w:r>
            <w:r>
              <w:rPr>
                <w:rFonts w:hint="eastAsia" w:ascii="仿宋" w:hAnsi="仿宋" w:eastAsia="仿宋" w:cs="宋体"/>
                <w:color w:val="000000"/>
                <w:sz w:val="24"/>
                <w:szCs w:val="24"/>
                <w:lang w:val="en-US" w:eastAsia="zh-CN"/>
              </w:rPr>
              <w:t>49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color w:val="auto"/>
                <w:sz w:val="24"/>
                <w:szCs w:val="24"/>
                <w:lang w:eastAsia="zh-CN"/>
              </w:rPr>
            </w:pPr>
            <w:r>
              <w:rPr>
                <w:rFonts w:hint="eastAsia" w:ascii="仿宋" w:hAnsi="仿宋" w:eastAsia="仿宋"/>
                <w:color w:val="auto"/>
                <w:sz w:val="24"/>
                <w:szCs w:val="24"/>
                <w:lang w:val="en-US" w:eastAsia="zh-CN"/>
              </w:rPr>
              <w:t>安装环境为非洁净区。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URS05</w:t>
            </w:r>
            <w:r>
              <w:rPr>
                <w:rFonts w:hint="eastAsia" w:ascii="仿宋" w:hAnsi="仿宋" w:eastAsia="仿宋" w:cs="宋体"/>
                <w:color w:val="000000"/>
                <w:sz w:val="24"/>
                <w:szCs w:val="24"/>
                <w:lang w:val="en-US" w:eastAsia="zh-CN"/>
              </w:rPr>
              <w:t>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color w:val="auto"/>
                <w:sz w:val="24"/>
                <w:szCs w:val="24"/>
                <w:lang w:val="en-US" w:eastAsia="zh-CN"/>
              </w:rPr>
            </w:pPr>
            <w:r>
              <w:rPr>
                <w:rFonts w:hint="eastAsia" w:ascii="仿宋" w:hAnsi="仿宋" w:eastAsia="仿宋"/>
                <w:color w:val="auto"/>
                <w:sz w:val="24"/>
                <w:szCs w:val="24"/>
                <w:lang w:val="en-US" w:eastAsia="zh-CN"/>
              </w:rPr>
              <w:t>应提供设备的外形尺寸图及设备的安装布置图。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 xml:space="preserve"> URS05</w:t>
            </w:r>
            <w:r>
              <w:rPr>
                <w:rFonts w:hint="eastAsia" w:ascii="仿宋" w:hAnsi="仿宋" w:eastAsia="仿宋" w:cs="宋体"/>
                <w:color w:val="000000"/>
                <w:sz w:val="24"/>
                <w:szCs w:val="24"/>
                <w:lang w:val="en-US" w:eastAsia="zh-CN"/>
              </w:rPr>
              <w:t>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设备周围应有足够的操作和维修空间，便于对设备进行操作和维修。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URS05</w:t>
            </w:r>
            <w:r>
              <w:rPr>
                <w:rFonts w:hint="eastAsia" w:ascii="仿宋" w:hAnsi="仿宋" w:eastAsia="仿宋" w:cs="宋体"/>
                <w:color w:val="000000"/>
                <w:sz w:val="24"/>
                <w:szCs w:val="24"/>
                <w:lang w:val="en-US" w:eastAsia="zh-CN"/>
              </w:rPr>
              <w:t>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color w:val="auto"/>
                <w:sz w:val="24"/>
                <w:szCs w:val="24"/>
                <w:lang w:val="en-US" w:eastAsia="zh-CN"/>
              </w:rPr>
            </w:pPr>
            <w:r>
              <w:rPr>
                <w:rFonts w:hint="eastAsia" w:ascii="仿宋" w:hAnsi="仿宋" w:eastAsia="仿宋"/>
                <w:color w:val="auto"/>
                <w:sz w:val="24"/>
                <w:szCs w:val="24"/>
                <w:lang w:val="en-US" w:eastAsia="zh-CN"/>
              </w:rPr>
              <w:t>供应商应标明公用系统（电、气等）接口位置及参数。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rPr>
              <w:t>URS05</w:t>
            </w:r>
            <w:r>
              <w:rPr>
                <w:rFonts w:hint="eastAsia" w:ascii="仿宋" w:hAnsi="仿宋" w:eastAsia="仿宋" w:cs="宋体"/>
                <w:color w:val="000000"/>
                <w:sz w:val="24"/>
                <w:szCs w:val="24"/>
                <w:lang w:val="en-US" w:eastAsia="zh-CN"/>
              </w:rPr>
              <w:t>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386"/>
              <w:tabs>
                <w:tab w:val="center" w:pos="4320"/>
                <w:tab w:val="left" w:pos="4680"/>
                <w:tab w:val="right" w:pos="8640"/>
              </w:tabs>
              <w:spacing w:before="40" w:after="20"/>
              <w:jc w:val="left"/>
              <w:rPr>
                <w:rFonts w:ascii="仿宋" w:hAnsi="仿宋" w:eastAsia="仿宋"/>
                <w:color w:val="auto"/>
                <w:sz w:val="24"/>
                <w:szCs w:val="24"/>
                <w:lang w:val="en-US" w:eastAsia="zh-CN"/>
              </w:rPr>
            </w:pPr>
            <w:r>
              <w:rPr>
                <w:rFonts w:hint="eastAsia" w:ascii="仿宋" w:hAnsi="仿宋" w:eastAsia="仿宋"/>
                <w:color w:val="auto"/>
                <w:sz w:val="24"/>
                <w:szCs w:val="24"/>
                <w:lang w:val="en-US" w:eastAsia="zh-CN"/>
              </w:rPr>
              <w:t>提供设备详细所需动力系统和厂房设施配套要求，并协助用户完成安装施工图设计。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sz w:val="24"/>
                <w:szCs w:val="24"/>
                <w:lang w:val="en-US" w:eastAsia="zh-CN"/>
              </w:rPr>
            </w:pPr>
            <w:r>
              <w:rPr>
                <w:rFonts w:hint="eastAsia" w:ascii="仿宋" w:hAnsi="仿宋" w:eastAsia="仿宋" w:cs="宋体"/>
                <w:sz w:val="24"/>
                <w:szCs w:val="24"/>
              </w:rPr>
              <w:t>URS05</w:t>
            </w:r>
            <w:r>
              <w:rPr>
                <w:rFonts w:hint="eastAsia" w:ascii="仿宋" w:hAnsi="仿宋" w:eastAsia="仿宋" w:cs="宋体"/>
                <w:sz w:val="24"/>
                <w:szCs w:val="24"/>
                <w:lang w:val="en-US" w:eastAsia="zh-CN"/>
              </w:rPr>
              <w:t>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仿宋" w:hAnsi="仿宋" w:eastAsia="仿宋"/>
                <w:color w:val="auto"/>
                <w:kern w:val="2"/>
                <w:sz w:val="24"/>
                <w:szCs w:val="24"/>
                <w:lang w:val="en-GB" w:eastAsia="zh-CN"/>
              </w:rPr>
            </w:pPr>
            <w:r>
              <w:rPr>
                <w:rFonts w:hint="eastAsia" w:ascii="仿宋" w:hAnsi="仿宋" w:eastAsia="仿宋"/>
                <w:color w:val="auto"/>
                <w:kern w:val="2"/>
                <w:sz w:val="24"/>
                <w:szCs w:val="24"/>
                <w:lang w:val="en-GB" w:eastAsia="zh-CN"/>
              </w:rPr>
              <w:t>1、终验收在买方工厂进行，卖方负责在买方现场安装、调试设备，并对操作、维修等人员进行技术培训。</w:t>
            </w:r>
          </w:p>
          <w:p>
            <w:pPr>
              <w:pStyle w:val="152"/>
              <w:rPr>
                <w:rFonts w:ascii="仿宋" w:hAnsi="仿宋" w:eastAsia="仿宋"/>
                <w:color w:val="auto"/>
                <w:kern w:val="2"/>
                <w:sz w:val="24"/>
                <w:szCs w:val="24"/>
                <w:lang w:val="en-GB" w:eastAsia="zh-CN"/>
              </w:rPr>
            </w:pPr>
            <w:r>
              <w:rPr>
                <w:rFonts w:hint="eastAsia" w:ascii="仿宋" w:hAnsi="仿宋" w:eastAsia="仿宋"/>
                <w:color w:val="auto"/>
                <w:kern w:val="2"/>
                <w:sz w:val="24"/>
                <w:szCs w:val="24"/>
                <w:lang w:val="en-GB" w:eastAsia="zh-CN"/>
              </w:rPr>
              <w:t>2、卖方负责协助买方进行相关验证活动，并对验证中出现的问题提出对策和解决方案。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ascii="仿宋" w:hAnsi="仿宋" w:eastAsia="仿宋" w:cs="宋体"/>
                <w:sz w:val="24"/>
                <w:szCs w:val="24"/>
              </w:rPr>
            </w:pPr>
            <w:r>
              <w:rPr>
                <w:rFonts w:hint="eastAsia" w:ascii="仿宋" w:hAnsi="仿宋" w:eastAsia="仿宋" w:cs="宋体"/>
                <w:sz w:val="24"/>
                <w:szCs w:val="24"/>
              </w:rPr>
              <w:t>URS0</w:t>
            </w:r>
            <w:r>
              <w:rPr>
                <w:rFonts w:hint="eastAsia" w:ascii="仿宋" w:hAnsi="仿宋" w:eastAsia="仿宋" w:cs="宋体"/>
                <w:sz w:val="24"/>
                <w:szCs w:val="24"/>
                <w:lang w:val="en-US" w:eastAsia="zh-CN"/>
              </w:rPr>
              <w:t>55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供应商进厂施工需遵守我方施工规则施工。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sz w:val="24"/>
                <w:szCs w:val="24"/>
                <w:lang w:val="en-US" w:eastAsia="zh-CN"/>
              </w:rPr>
            </w:pPr>
            <w:r>
              <w:rPr>
                <w:rFonts w:hint="eastAsia" w:ascii="仿宋" w:hAnsi="仿宋" w:eastAsia="仿宋" w:cs="宋体"/>
                <w:sz w:val="24"/>
                <w:szCs w:val="24"/>
              </w:rPr>
              <w:t>URS05</w:t>
            </w:r>
            <w:r>
              <w:rPr>
                <w:rFonts w:hint="eastAsia" w:ascii="仿宋" w:hAnsi="仿宋" w:eastAsia="仿宋" w:cs="宋体"/>
                <w:sz w:val="24"/>
                <w:szCs w:val="24"/>
                <w:lang w:val="en-US" w:eastAsia="zh-CN"/>
              </w:rPr>
              <w:t>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rPr>
                <w:rFonts w:ascii="仿宋" w:hAnsi="仿宋" w:eastAsia="仿宋"/>
                <w:color w:val="auto"/>
                <w:kern w:val="2"/>
                <w:sz w:val="24"/>
                <w:szCs w:val="24"/>
                <w:lang w:eastAsia="zh-CN"/>
              </w:rPr>
            </w:pPr>
            <w:r>
              <w:rPr>
                <w:rFonts w:hint="eastAsia" w:ascii="仿宋" w:hAnsi="仿宋" w:eastAsia="仿宋"/>
                <w:color w:val="auto"/>
                <w:sz w:val="24"/>
                <w:szCs w:val="24"/>
                <w:lang w:eastAsia="zh-CN"/>
              </w:rPr>
              <w:t>负责对技术管理人员、操作人员、维修人员进行结构原理、性能、操作、维修、故障排除等基本知识的培训，使我公司各专业人员达到一定熟练程度，由双方人员认可，费用由供应商自理。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sz w:val="24"/>
                <w:szCs w:val="24"/>
                <w:lang w:val="en-US" w:eastAsia="zh-CN"/>
              </w:rPr>
            </w:pPr>
            <w:r>
              <w:rPr>
                <w:rFonts w:hint="eastAsia" w:ascii="仿宋" w:hAnsi="仿宋" w:eastAsia="仿宋" w:cs="宋体"/>
                <w:sz w:val="24"/>
                <w:szCs w:val="24"/>
              </w:rPr>
              <w:t>URS05</w:t>
            </w:r>
            <w:r>
              <w:rPr>
                <w:rFonts w:hint="eastAsia" w:ascii="仿宋" w:hAnsi="仿宋" w:eastAsia="仿宋" w:cs="宋体"/>
                <w:sz w:val="24"/>
                <w:szCs w:val="24"/>
                <w:lang w:val="en-US" w:eastAsia="zh-CN"/>
              </w:rPr>
              <w:t>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lang w:val="en-GB"/>
              </w:rPr>
              <w:t>本机保修期限1年,有效日为安装试车完成验收日起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eastAsia" w:ascii="仿宋" w:hAnsi="仿宋" w:eastAsia="仿宋" w:cs="宋体"/>
                <w:sz w:val="24"/>
                <w:szCs w:val="24"/>
                <w:lang w:val="en-US" w:eastAsia="zh-CN"/>
              </w:rPr>
            </w:pPr>
            <w:r>
              <w:rPr>
                <w:rFonts w:hint="eastAsia" w:ascii="仿宋" w:hAnsi="仿宋" w:eastAsia="仿宋" w:cs="宋体"/>
                <w:sz w:val="24"/>
                <w:szCs w:val="24"/>
              </w:rPr>
              <w:t>URS05</w:t>
            </w:r>
            <w:r>
              <w:rPr>
                <w:rFonts w:hint="eastAsia" w:ascii="仿宋" w:hAnsi="仿宋" w:eastAsia="仿宋" w:cs="宋体"/>
                <w:sz w:val="24"/>
                <w:szCs w:val="24"/>
                <w:lang w:val="en-US" w:eastAsia="zh-CN"/>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lang w:val="en-GB"/>
              </w:rPr>
            </w:pPr>
            <w:r>
              <w:rPr>
                <w:rFonts w:hint="eastAsia" w:ascii="仿宋" w:hAnsi="仿宋" w:eastAsia="仿宋"/>
                <w:color w:val="auto"/>
                <w:sz w:val="24"/>
                <w:szCs w:val="24"/>
              </w:rPr>
              <w:t>设备供应商负责所有技术指导、电话咨询及人员培训，包括：操作、设备维护、设备性能及问题解答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default" w:ascii="仿宋" w:hAnsi="仿宋" w:eastAsia="仿宋" w:cs="宋体"/>
                <w:sz w:val="24"/>
                <w:szCs w:val="24"/>
                <w:lang w:val="en-US" w:eastAsia="zh-CN"/>
              </w:rPr>
            </w:pPr>
            <w:r>
              <w:rPr>
                <w:rFonts w:hint="eastAsia" w:ascii="仿宋" w:hAnsi="仿宋" w:eastAsia="仿宋" w:cs="宋体"/>
                <w:sz w:val="24"/>
                <w:szCs w:val="24"/>
              </w:rPr>
              <w:t>URS0</w:t>
            </w:r>
            <w:r>
              <w:rPr>
                <w:rFonts w:hint="eastAsia" w:ascii="仿宋" w:hAnsi="仿宋" w:eastAsia="仿宋" w:cs="宋体"/>
                <w:sz w:val="24"/>
                <w:szCs w:val="24"/>
                <w:lang w:val="en-US" w:eastAsia="zh-CN"/>
              </w:rPr>
              <w:t>59</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lang w:val="en-GB"/>
              </w:rPr>
            </w:pPr>
            <w:r>
              <w:rPr>
                <w:rFonts w:hint="eastAsia" w:ascii="仿宋" w:hAnsi="仿宋" w:eastAsia="仿宋"/>
                <w:color w:val="auto"/>
                <w:sz w:val="24"/>
                <w:szCs w:val="24"/>
              </w:rPr>
              <w:t>厂家负责设备终身维修和备件提供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240" w:firstLineChars="100"/>
              <w:jc w:val="center"/>
              <w:rPr>
                <w:rFonts w:hint="default" w:ascii="仿宋" w:hAnsi="仿宋" w:eastAsia="仿宋" w:cs="宋体"/>
                <w:sz w:val="24"/>
                <w:szCs w:val="24"/>
                <w:lang w:val="en-US" w:eastAsia="zh-CN"/>
              </w:rPr>
            </w:pPr>
            <w:r>
              <w:rPr>
                <w:rFonts w:hint="eastAsia" w:ascii="仿宋" w:hAnsi="仿宋" w:eastAsia="仿宋" w:cs="宋体"/>
                <w:sz w:val="24"/>
                <w:szCs w:val="24"/>
              </w:rPr>
              <w:t>URS0</w:t>
            </w:r>
            <w:r>
              <w:rPr>
                <w:rFonts w:hint="eastAsia" w:ascii="仿宋" w:hAnsi="仿宋" w:eastAsia="仿宋" w:cs="宋体"/>
                <w:sz w:val="24"/>
                <w:szCs w:val="24"/>
                <w:lang w:val="en-US" w:eastAsia="zh-CN"/>
              </w:rPr>
              <w:t>60</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供方提供设备安装、调试、验证工作，并注明设备安装调试周期及校验时间；提供安装确认方案（IQ）、</w:t>
            </w:r>
            <w:r>
              <w:rPr>
                <w:rFonts w:ascii="仿宋" w:hAnsi="仿宋" w:eastAsia="仿宋"/>
                <w:color w:val="auto"/>
                <w:sz w:val="24"/>
                <w:szCs w:val="24"/>
              </w:rPr>
              <w:t>运行</w:t>
            </w:r>
            <w:r>
              <w:rPr>
                <w:rFonts w:hint="eastAsia" w:ascii="仿宋" w:hAnsi="仿宋" w:eastAsia="仿宋"/>
                <w:color w:val="auto"/>
                <w:sz w:val="24"/>
                <w:szCs w:val="24"/>
              </w:rPr>
              <w:t>确认方案（</w:t>
            </w:r>
            <w:r>
              <w:rPr>
                <w:rFonts w:ascii="仿宋" w:hAnsi="仿宋" w:eastAsia="仿宋"/>
                <w:color w:val="auto"/>
                <w:sz w:val="24"/>
                <w:szCs w:val="24"/>
              </w:rPr>
              <w:t>O</w:t>
            </w:r>
            <w:r>
              <w:rPr>
                <w:rFonts w:hint="eastAsia" w:ascii="仿宋" w:hAnsi="仿宋" w:eastAsia="仿宋"/>
                <w:color w:val="auto"/>
                <w:sz w:val="24"/>
                <w:szCs w:val="24"/>
              </w:rPr>
              <w:t>Q）、性能确认方案（</w:t>
            </w:r>
            <w:r>
              <w:rPr>
                <w:rFonts w:ascii="仿宋" w:hAnsi="仿宋" w:eastAsia="仿宋"/>
                <w:color w:val="auto"/>
                <w:sz w:val="24"/>
                <w:szCs w:val="24"/>
              </w:rPr>
              <w:t>P</w:t>
            </w:r>
            <w:r>
              <w:rPr>
                <w:rFonts w:hint="eastAsia" w:ascii="仿宋" w:hAnsi="仿宋" w:eastAsia="仿宋"/>
                <w:color w:val="auto"/>
                <w:sz w:val="24"/>
                <w:szCs w:val="24"/>
              </w:rPr>
              <w:t>Q），并协助完成确认。</w:t>
            </w:r>
          </w:p>
          <w:p>
            <w:pPr>
              <w:rPr>
                <w:rFonts w:ascii="仿宋" w:hAnsi="仿宋" w:eastAsia="仿宋"/>
                <w:color w:val="auto"/>
                <w:sz w:val="24"/>
                <w:szCs w:val="24"/>
              </w:rPr>
            </w:pPr>
            <w:r>
              <w:rPr>
                <w:rFonts w:hint="eastAsia" w:ascii="仿宋" w:hAnsi="仿宋" w:eastAsia="仿宋"/>
                <w:color w:val="auto"/>
                <w:sz w:val="24"/>
                <w:szCs w:val="24"/>
              </w:rPr>
              <w:t>本机使用之两年内已损坏备品零件一套。机器试车后于保修期限内其消耗品或电子零件故障需由供应商负责免费供应修缮或更换。且维修需要在2天内到现场。维修期限内供应商每年至现场免费检修一次。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ascii="仿宋" w:hAnsi="仿宋" w:eastAsia="仿宋" w:cs="宋体"/>
                <w:color w:val="auto"/>
                <w:sz w:val="24"/>
                <w:szCs w:val="24"/>
              </w:rPr>
            </w:pPr>
            <w:r>
              <w:rPr>
                <w:rFonts w:hint="eastAsia" w:ascii="仿宋" w:hAnsi="仿宋" w:eastAsia="仿宋" w:cs="宋体"/>
                <w:color w:val="auto"/>
                <w:sz w:val="24"/>
                <w:szCs w:val="24"/>
              </w:rPr>
              <w:t>对工艺设备购置合同的信息要求（工艺流程图/安装操作图，设备部件规格，标有设备部件位置和主要尺寸的布局图，材料的标准和处理标准，主要部件的尺寸和质量等）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URS061</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供应商具有生产此类设备的资质。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URS062</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供应商可提供安装、调试、培训等技术支持。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URS063</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rPr>
            </w:pPr>
            <w:r>
              <w:rPr>
                <w:rFonts w:hint="eastAsia" w:ascii="仿宋" w:hAnsi="仿宋" w:eastAsia="仿宋"/>
                <w:color w:val="auto"/>
                <w:sz w:val="24"/>
                <w:szCs w:val="24"/>
              </w:rPr>
              <w:t>拥有同类设备的厂家对供应商的反映良好。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szCs w:val="24"/>
              </w:rPr>
            </w:pPr>
            <w:r>
              <w:rPr>
                <w:rFonts w:hint="eastAsia" w:ascii="仿宋" w:hAnsi="仿宋" w:eastAsia="仿宋" w:cs="宋体"/>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URS064</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本规格表中基本规格内容，技术数据及参考文件等各大项中所提及各项要求供应商提供资料，若有任何问题应于契约订定前先知会我方，在合约上说明，否则各项均列入设备到货验收时之依据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URS065</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供应商在报价中需要将所有需要提供的辅助设施（如：水、电、蒸汽、压缩空气、支架等）列举清楚。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URS066</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本URS作为合同的补充条款，作为到货验收的依据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 xml:space="preserve"> URS067</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仿宋" w:hAnsi="仿宋" w:eastAsia="仿宋"/>
                <w:color w:val="auto"/>
                <w:kern w:val="2"/>
                <w:sz w:val="24"/>
                <w:szCs w:val="24"/>
                <w:lang w:eastAsia="zh-CN"/>
              </w:rPr>
            </w:pPr>
            <w:r>
              <w:rPr>
                <w:rFonts w:hint="eastAsia" w:ascii="仿宋" w:hAnsi="仿宋" w:eastAsia="仿宋"/>
                <w:color w:val="auto"/>
                <w:kern w:val="2"/>
                <w:sz w:val="24"/>
                <w:szCs w:val="24"/>
                <w:lang w:eastAsia="zh-CN"/>
              </w:rPr>
              <w:t>供应商对URS中的项目要求条款予以确认，有偏离的做对应的详细说明。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URS06</w:t>
            </w:r>
            <w:r>
              <w:rPr>
                <w:rFonts w:ascii="仿宋" w:hAnsi="仿宋" w:eastAsia="仿宋" w:cs="宋体"/>
                <w:sz w:val="24"/>
                <w:szCs w:val="24"/>
              </w:rPr>
              <w:t>8</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供应商</w:t>
            </w:r>
            <w:r>
              <w:rPr>
                <w:rFonts w:ascii="仿宋" w:hAnsi="仿宋" w:eastAsia="仿宋"/>
                <w:color w:val="auto"/>
                <w:sz w:val="24"/>
                <w:szCs w:val="24"/>
              </w:rPr>
              <w:t>提供：</w:t>
            </w:r>
            <w:r>
              <w:rPr>
                <w:rFonts w:hint="eastAsia" w:ascii="仿宋" w:hAnsi="仿宋" w:eastAsia="仿宋"/>
                <w:color w:val="auto"/>
                <w:sz w:val="24"/>
                <w:szCs w:val="24"/>
              </w:rPr>
              <w:t>综合资料</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（1）制造、安装和调试进度计划表；</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（2）设计、制作和检测依据的标准和规范；</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（3）装箱单；</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（4）整套系统的设计说明；</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（5）公用系统介质需求(如电、蒸汽压力、压缩空气用量等参数)；</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（6）(在安装现场的)总体布置图；</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（7）成套装置和各个设备、部件的技术参数表；</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（8）运输、安装、使用操作和维护说明书；</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（9）设备日常维护保养规程；</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（10）设备预防性维修规程。</w:t>
            </w:r>
          </w:p>
          <w:p>
            <w:pPr>
              <w:pStyle w:val="152"/>
              <w:spacing w:before="0"/>
              <w:rPr>
                <w:rFonts w:ascii="仿宋" w:hAnsi="仿宋" w:eastAsia="仿宋"/>
                <w:color w:val="auto"/>
                <w:kern w:val="2"/>
                <w:sz w:val="24"/>
                <w:szCs w:val="24"/>
                <w:lang w:eastAsia="zh-CN"/>
              </w:rPr>
            </w:pPr>
            <w:r>
              <w:rPr>
                <w:rFonts w:hint="eastAsia" w:ascii="仿宋" w:hAnsi="仿宋" w:eastAsia="仿宋"/>
                <w:color w:val="auto"/>
                <w:sz w:val="24"/>
                <w:szCs w:val="24"/>
              </w:rPr>
              <w:t>（11）专用工具一套。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仿宋" w:hAnsi="仿宋" w:eastAsia="仿宋" w:cs="宋体"/>
                <w:sz w:val="24"/>
                <w:szCs w:val="24"/>
              </w:rPr>
            </w:pPr>
            <w:r>
              <w:rPr>
                <w:rFonts w:hint="eastAsia" w:ascii="仿宋" w:hAnsi="仿宋" w:eastAsia="仿宋" w:cs="宋体"/>
                <w:sz w:val="24"/>
                <w:szCs w:val="24"/>
              </w:rPr>
              <w:t>URS06</w:t>
            </w:r>
            <w:r>
              <w:rPr>
                <w:rFonts w:ascii="仿宋" w:hAnsi="仿宋" w:eastAsia="仿宋" w:cs="宋体"/>
                <w:sz w:val="24"/>
                <w:szCs w:val="24"/>
              </w:rPr>
              <w:t>9</w:t>
            </w:r>
          </w:p>
        </w:tc>
        <w:tc>
          <w:tcPr>
            <w:tcW w:w="7371" w:type="dxa"/>
            <w:tcBorders>
              <w:top w:val="single" w:color="auto" w:sz="4" w:space="0"/>
              <w:left w:val="single" w:color="auto" w:sz="4" w:space="0"/>
              <w:bottom w:val="single" w:color="auto" w:sz="4" w:space="0"/>
              <w:right w:val="single" w:color="auto" w:sz="4" w:space="0"/>
            </w:tcBorders>
            <w:noWrap w:val="0"/>
            <w:vAlign w:val="top"/>
          </w:tcPr>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供应商提供</w:t>
            </w:r>
            <w:r>
              <w:rPr>
                <w:rFonts w:ascii="仿宋" w:hAnsi="仿宋" w:eastAsia="仿宋"/>
                <w:color w:val="auto"/>
                <w:sz w:val="24"/>
                <w:szCs w:val="24"/>
              </w:rPr>
              <w:t>：</w:t>
            </w:r>
            <w:r>
              <w:rPr>
                <w:rFonts w:hint="eastAsia" w:ascii="仿宋" w:hAnsi="仿宋" w:eastAsia="仿宋"/>
                <w:color w:val="auto"/>
                <w:sz w:val="24"/>
                <w:szCs w:val="24"/>
              </w:rPr>
              <w:t>检测、验收和验证</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（1）成套(整套)装置的合格证和质量保证书；</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（2）原材料检测报告和检测证书；</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（3）零部件和设备的合格证和使用说明书；</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（4）零部件和设备检测报告和检测证书；</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（5）变更控制记录与报告；</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（6）设计确认(DQ)文件；</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（7）安装确认(IQ)文件；</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（8）运行确认(OQ)文件；</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（9）性能确认(PQ)文件；</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（10）出厂前工厂内验收测试(FAT)文件；</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（11）现场验收测试(SAT)文件；</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（12）提供容器监检报告。</w:t>
            </w:r>
          </w:p>
          <w:p>
            <w:pPr>
              <w:spacing w:before="120" w:after="120" w:line="240" w:lineRule="exact"/>
              <w:rPr>
                <w:rFonts w:ascii="仿宋" w:hAnsi="仿宋" w:eastAsia="仿宋"/>
                <w:color w:val="auto"/>
                <w:sz w:val="24"/>
                <w:szCs w:val="24"/>
              </w:rPr>
            </w:pPr>
            <w:r>
              <w:rPr>
                <w:rFonts w:hint="eastAsia" w:ascii="仿宋" w:hAnsi="仿宋" w:eastAsia="仿宋"/>
                <w:color w:val="auto"/>
                <w:sz w:val="24"/>
                <w:szCs w:val="24"/>
              </w:rPr>
              <w:t>（13）必须的其他竣工资料和验证文件。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06" w:type="dxa"/>
          <w:trHeight w:val="567" w:hRule="atLeast"/>
        </w:trPr>
        <w:tc>
          <w:tcPr>
            <w:tcW w:w="9640" w:type="dxa"/>
            <w:gridSpan w:val="2"/>
            <w:tcBorders>
              <w:top w:val="single" w:color="auto" w:sz="4" w:space="0"/>
              <w:left w:val="single" w:color="auto" w:sz="4" w:space="0"/>
              <w:bottom w:val="single" w:color="auto" w:sz="4" w:space="0"/>
              <w:right w:val="single" w:color="auto" w:sz="4" w:space="0"/>
            </w:tcBorders>
            <w:noWrap w:val="0"/>
            <w:vAlign w:val="center"/>
          </w:tcPr>
          <w:p>
            <w:pPr>
              <w:pStyle w:val="152"/>
              <w:spacing w:before="0"/>
              <w:rPr>
                <w:rFonts w:ascii="楷体" w:hAnsi="楷体" w:eastAsia="楷体"/>
                <w:kern w:val="2"/>
                <w:lang w:eastAsia="zh-CN"/>
              </w:rPr>
            </w:pPr>
            <w:r>
              <w:rPr>
                <w:rFonts w:hint="eastAsia" w:ascii="宋体" w:hAnsi="宋体" w:cs="宋体"/>
                <w:color w:val="000000"/>
                <w:kern w:val="2"/>
                <w:lang w:eastAsia="zh-CN"/>
              </w:rPr>
              <w:t>本URS条款为最低要求，如有更高配置请加以说明</w:t>
            </w:r>
          </w:p>
        </w:tc>
      </w:tr>
    </w:tbl>
    <w:p>
      <w:pPr>
        <w:bidi w:val="0"/>
        <w:jc w:val="left"/>
        <w:rPr>
          <w:rFonts w:hint="default"/>
          <w:b/>
          <w:bCs/>
          <w:sz w:val="24"/>
          <w:szCs w:val="24"/>
          <w:lang w:val="en-US" w:eastAsia="zh-CN"/>
        </w:rPr>
      </w:pPr>
    </w:p>
    <w:sectPr>
      <w:footerReference r:id="rId3" w:type="default"/>
      <w:pgSz w:w="11907" w:h="16840"/>
      <w:pgMar w:top="1276" w:right="1797" w:bottom="1276" w:left="1797" w:header="720" w:footer="720"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7FFAFFF" w:usb1="E9DFFFFF" w:usb2="0000003F" w:usb3="00000000" w:csb0="003F01FF" w:csb1="00000000"/>
  </w:font>
  <w:font w:name="楷体_GB2312">
    <w:altName w:val="楷体"/>
    <w:panose1 w:val="02010609030101010101"/>
    <w:charset w:val="86"/>
    <w:family w:val="modern"/>
    <w:pitch w:val="default"/>
    <w:sig w:usb0="00000000" w:usb1="080E0000" w:usb2="00000010" w:usb3="00000000" w:csb0="00040000" w:csb1="0000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Univers">
    <w:altName w:val="Segoe Print"/>
    <w:panose1 w:val="00000000000000000000"/>
    <w:charset w:val="00"/>
    <w:family w:val="swiss"/>
    <w:pitch w:val="default"/>
    <w:sig w:usb0="80000287" w:usb1="00000000" w:usb2="00000000" w:usb3="00000000" w:csb0="0000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320"/>
        <w:tab w:val="right" w:pos="8640"/>
      </w:tabs>
      <w:ind w:firstLine="4095" w:firstLineChars="1950"/>
      <w:rPr>
        <w:rFonts w:hint="eastAsia"/>
        <w:sz w:val="21"/>
        <w:szCs w:val="21"/>
      </w:rPr>
    </w:pPr>
    <w:r>
      <w:rPr>
        <w:rFonts w:hint="eastAsia"/>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057900" cy="0"/>
              <wp:effectExtent l="0" t="4445" r="0" b="5080"/>
              <wp:wrapNone/>
              <wp:docPr id="2" name="Line 3"/>
              <wp:cNvGraphicFramePr/>
              <a:graphic xmlns:a="http://schemas.openxmlformats.org/drawingml/2006/main">
                <a:graphicData uri="http://schemas.microsoft.com/office/word/2010/wordprocessingShape">
                  <wps:wsp>
                    <wps:cNvSp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05pt;height:0pt;width:477pt;z-index:251659264;mso-width-relative:page;mso-height-relative:page;" filled="f" stroked="t" coordsize="21600,21600" o:gfxdata="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6w6qLQAAAAAgEAAA8AAAAAAAAAAQAgAAAA&#10;IgAAAGRycy9kb3ducmV2LnhtbFBLAQIUABQAAAAIAIdO4kBS5RVh2gEAANkDAAAOAAAAAAAAAAEA&#10;IAAAAB8BAABkcnMvZTJvRG9jLnhtbFBLBQYAAAAABgAGAFkBAABrBQAAAAA=&#10;">
              <v:fill on="f" focussize="0,0"/>
              <v:stroke color="#000000" joinstyle="round"/>
              <v:imagedata o:title=""/>
              <o:lock v:ext="edit" aspectratio="f"/>
            </v:line>
          </w:pict>
        </mc:Fallback>
      </mc:AlternateContent>
    </w:r>
    <w:r>
      <w:rPr>
        <w:sz w:val="21"/>
        <w:szCs w:val="21"/>
      </w:rPr>
      <w:t xml:space="preserve">Page </w:t>
    </w:r>
    <w:r>
      <w:rPr>
        <w:sz w:val="21"/>
        <w:szCs w:val="21"/>
      </w:rPr>
      <w:fldChar w:fldCharType="begin"/>
    </w:r>
    <w:r>
      <w:rPr>
        <w:sz w:val="21"/>
        <w:szCs w:val="21"/>
      </w:rPr>
      <w:instrText xml:space="preserve"> PAGE </w:instrText>
    </w:r>
    <w:r>
      <w:rPr>
        <w:sz w:val="21"/>
        <w:szCs w:val="21"/>
      </w:rPr>
      <w:fldChar w:fldCharType="separate"/>
    </w:r>
    <w:r>
      <w:rPr>
        <w:sz w:val="21"/>
        <w:szCs w:val="21"/>
      </w:rPr>
      <w:t>6</w:t>
    </w:r>
    <w:r>
      <w:rPr>
        <w:sz w:val="21"/>
        <w:szCs w:val="21"/>
      </w:rPr>
      <w:fldChar w:fldCharType="end"/>
    </w:r>
    <w:r>
      <w:rPr>
        <w:sz w:val="21"/>
        <w:szCs w:val="21"/>
      </w:rPr>
      <w:t xml:space="preserve"> of </w:t>
    </w:r>
    <w:r>
      <w:rPr>
        <w:sz w:val="21"/>
        <w:szCs w:val="21"/>
      </w:rPr>
      <w:fldChar w:fldCharType="begin"/>
    </w:r>
    <w:r>
      <w:rPr>
        <w:sz w:val="21"/>
        <w:szCs w:val="21"/>
      </w:rPr>
      <w:instrText xml:space="preserve"> NUMPAGES </w:instrText>
    </w:r>
    <w:r>
      <w:rPr>
        <w:sz w:val="21"/>
        <w:szCs w:val="21"/>
      </w:rPr>
      <w:fldChar w:fldCharType="separate"/>
    </w:r>
    <w:r>
      <w:rPr>
        <w:sz w:val="21"/>
        <w:szCs w:val="21"/>
      </w:rPr>
      <w:t>7</w:t>
    </w:r>
    <w:r>
      <w:rPr>
        <w:sz w:val="21"/>
        <w:szCs w:val="21"/>
      </w:rPr>
      <w:fldChar w:fldCharType="end"/>
    </w:r>
  </w:p>
  <w:p>
    <w:pPr>
      <w:pStyle w:val="37"/>
      <w:tabs>
        <w:tab w:val="center" w:pos="4320"/>
        <w:tab w:val="right" w:pos="8640"/>
      </w:tabs>
      <w:rPr>
        <w:sz w:val="21"/>
        <w:szCs w:val="21"/>
      </w:rPr>
    </w:pPr>
    <w:r>
      <w:rPr>
        <w:rFonts w:hint="eastAsia"/>
        <w:sz w:val="21"/>
        <w:szCs w:val="21"/>
      </w:rPr>
      <w:t xml:space="preserve">    </w:t>
    </w:r>
  </w:p>
  <w:p>
    <w:pPr>
      <w:pStyle w:val="37"/>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D7E64"/>
    <w:multiLevelType w:val="singleLevel"/>
    <w:tmpl w:val="131D7E64"/>
    <w:lvl w:ilvl="0" w:tentative="0">
      <w:start w:val="1"/>
      <w:numFmt w:val="japaneseCounting"/>
      <w:pStyle w:val="23"/>
      <w:lvlText w:val="%1、"/>
      <w:lvlJc w:val="left"/>
      <w:pPr>
        <w:tabs>
          <w:tab w:val="left" w:pos="390"/>
        </w:tabs>
        <w:ind w:left="390" w:hanging="390"/>
      </w:pPr>
      <w:rPr>
        <w:rFonts w:hint="eastAsia"/>
      </w:rPr>
    </w:lvl>
  </w:abstractNum>
  <w:abstractNum w:abstractNumId="1">
    <w:nsid w:val="67144038"/>
    <w:multiLevelType w:val="multilevel"/>
    <w:tmpl w:val="67144038"/>
    <w:lvl w:ilvl="0" w:tentative="0">
      <w:start w:val="1"/>
      <w:numFmt w:val="japaneseCounting"/>
      <w:lvlText w:val="%1、"/>
      <w:lvlJc w:val="left"/>
      <w:pPr>
        <w:ind w:left="1188" w:hanging="720"/>
      </w:pPr>
      <w:rPr>
        <w:rFonts w:hint="default"/>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rawingGridVerticalSpacing w:val="271"/>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mQ0YzFlN2M3ZTZjNWE4NDAyOTdiMzJjYTAxOTQifQ=="/>
  </w:docVars>
  <w:rsids>
    <w:rsidRoot w:val="00610A80"/>
    <w:rsid w:val="00000D6F"/>
    <w:rsid w:val="00042ABA"/>
    <w:rsid w:val="00043446"/>
    <w:rsid w:val="00043949"/>
    <w:rsid w:val="0004795D"/>
    <w:rsid w:val="00061CD7"/>
    <w:rsid w:val="00074740"/>
    <w:rsid w:val="000A1712"/>
    <w:rsid w:val="000A3349"/>
    <w:rsid w:val="000B4E6D"/>
    <w:rsid w:val="000C1498"/>
    <w:rsid w:val="000C5740"/>
    <w:rsid w:val="000D11F3"/>
    <w:rsid w:val="000E0DAB"/>
    <w:rsid w:val="000E5617"/>
    <w:rsid w:val="000F3CF5"/>
    <w:rsid w:val="001168C9"/>
    <w:rsid w:val="00116E99"/>
    <w:rsid w:val="00136A5D"/>
    <w:rsid w:val="00167985"/>
    <w:rsid w:val="00175A3D"/>
    <w:rsid w:val="001804D8"/>
    <w:rsid w:val="00183338"/>
    <w:rsid w:val="001848AB"/>
    <w:rsid w:val="00192535"/>
    <w:rsid w:val="00192E9B"/>
    <w:rsid w:val="00194320"/>
    <w:rsid w:val="001F3499"/>
    <w:rsid w:val="00202688"/>
    <w:rsid w:val="002222E2"/>
    <w:rsid w:val="00250F83"/>
    <w:rsid w:val="00252061"/>
    <w:rsid w:val="00260300"/>
    <w:rsid w:val="0026374E"/>
    <w:rsid w:val="002862EC"/>
    <w:rsid w:val="00293EBA"/>
    <w:rsid w:val="002979DF"/>
    <w:rsid w:val="00297DCF"/>
    <w:rsid w:val="002A66A2"/>
    <w:rsid w:val="002A6CCC"/>
    <w:rsid w:val="002C2142"/>
    <w:rsid w:val="002C4208"/>
    <w:rsid w:val="002D4EDF"/>
    <w:rsid w:val="002E3A09"/>
    <w:rsid w:val="00305750"/>
    <w:rsid w:val="00310991"/>
    <w:rsid w:val="003308C5"/>
    <w:rsid w:val="00331D00"/>
    <w:rsid w:val="00332EA2"/>
    <w:rsid w:val="00333E2E"/>
    <w:rsid w:val="00345CB4"/>
    <w:rsid w:val="003618C7"/>
    <w:rsid w:val="00387C1A"/>
    <w:rsid w:val="003903A0"/>
    <w:rsid w:val="003A1C30"/>
    <w:rsid w:val="003B0E38"/>
    <w:rsid w:val="003B6BBD"/>
    <w:rsid w:val="003E047D"/>
    <w:rsid w:val="003E048E"/>
    <w:rsid w:val="003E050D"/>
    <w:rsid w:val="003E3A0A"/>
    <w:rsid w:val="003F141A"/>
    <w:rsid w:val="003F46EC"/>
    <w:rsid w:val="00404114"/>
    <w:rsid w:val="004047A2"/>
    <w:rsid w:val="00405BC5"/>
    <w:rsid w:val="0041165E"/>
    <w:rsid w:val="00423993"/>
    <w:rsid w:val="00424512"/>
    <w:rsid w:val="004315FC"/>
    <w:rsid w:val="00447D17"/>
    <w:rsid w:val="0045407D"/>
    <w:rsid w:val="0047587B"/>
    <w:rsid w:val="00487FDB"/>
    <w:rsid w:val="004906AA"/>
    <w:rsid w:val="004945C6"/>
    <w:rsid w:val="00495984"/>
    <w:rsid w:val="004965E7"/>
    <w:rsid w:val="004A7629"/>
    <w:rsid w:val="004B79A0"/>
    <w:rsid w:val="004C62E7"/>
    <w:rsid w:val="004C686D"/>
    <w:rsid w:val="004D1FE5"/>
    <w:rsid w:val="004E43BA"/>
    <w:rsid w:val="00510DC6"/>
    <w:rsid w:val="00511DA6"/>
    <w:rsid w:val="005151A5"/>
    <w:rsid w:val="0052557D"/>
    <w:rsid w:val="005273A1"/>
    <w:rsid w:val="0053236B"/>
    <w:rsid w:val="00541074"/>
    <w:rsid w:val="00544135"/>
    <w:rsid w:val="00547A45"/>
    <w:rsid w:val="00553B7F"/>
    <w:rsid w:val="005877F8"/>
    <w:rsid w:val="0059235E"/>
    <w:rsid w:val="005B1800"/>
    <w:rsid w:val="005C3433"/>
    <w:rsid w:val="005C4DBF"/>
    <w:rsid w:val="005D129C"/>
    <w:rsid w:val="005E15BE"/>
    <w:rsid w:val="005E1F5E"/>
    <w:rsid w:val="005E67A4"/>
    <w:rsid w:val="005F1ECF"/>
    <w:rsid w:val="005F4508"/>
    <w:rsid w:val="005F67C8"/>
    <w:rsid w:val="0060329B"/>
    <w:rsid w:val="00607534"/>
    <w:rsid w:val="00610A80"/>
    <w:rsid w:val="006149AA"/>
    <w:rsid w:val="006168DE"/>
    <w:rsid w:val="00637615"/>
    <w:rsid w:val="00641E5D"/>
    <w:rsid w:val="00643E4C"/>
    <w:rsid w:val="00645026"/>
    <w:rsid w:val="00661895"/>
    <w:rsid w:val="0067169F"/>
    <w:rsid w:val="0067621C"/>
    <w:rsid w:val="0069253B"/>
    <w:rsid w:val="00694D74"/>
    <w:rsid w:val="006B2649"/>
    <w:rsid w:val="006C2B01"/>
    <w:rsid w:val="006E1230"/>
    <w:rsid w:val="00752E13"/>
    <w:rsid w:val="0076554A"/>
    <w:rsid w:val="0077406E"/>
    <w:rsid w:val="0078311D"/>
    <w:rsid w:val="00787119"/>
    <w:rsid w:val="007A117F"/>
    <w:rsid w:val="007B4263"/>
    <w:rsid w:val="007C2063"/>
    <w:rsid w:val="007C25E7"/>
    <w:rsid w:val="007D7042"/>
    <w:rsid w:val="007E4F5E"/>
    <w:rsid w:val="007F2A5F"/>
    <w:rsid w:val="00817448"/>
    <w:rsid w:val="00822FFB"/>
    <w:rsid w:val="00830AB4"/>
    <w:rsid w:val="00835A82"/>
    <w:rsid w:val="008448A4"/>
    <w:rsid w:val="00845665"/>
    <w:rsid w:val="008500EC"/>
    <w:rsid w:val="0086302C"/>
    <w:rsid w:val="00863793"/>
    <w:rsid w:val="0086782B"/>
    <w:rsid w:val="00884712"/>
    <w:rsid w:val="00892114"/>
    <w:rsid w:val="0089557F"/>
    <w:rsid w:val="008B326A"/>
    <w:rsid w:val="008E4C7D"/>
    <w:rsid w:val="008E7537"/>
    <w:rsid w:val="008F4596"/>
    <w:rsid w:val="00907165"/>
    <w:rsid w:val="0091217A"/>
    <w:rsid w:val="00913C1D"/>
    <w:rsid w:val="0091778D"/>
    <w:rsid w:val="00925CF1"/>
    <w:rsid w:val="00936D20"/>
    <w:rsid w:val="009433AA"/>
    <w:rsid w:val="00944DE8"/>
    <w:rsid w:val="00945CE2"/>
    <w:rsid w:val="00947771"/>
    <w:rsid w:val="00961EA2"/>
    <w:rsid w:val="009766CA"/>
    <w:rsid w:val="0099397D"/>
    <w:rsid w:val="00995F20"/>
    <w:rsid w:val="009D27DA"/>
    <w:rsid w:val="009F2540"/>
    <w:rsid w:val="009F2E2C"/>
    <w:rsid w:val="00A01A37"/>
    <w:rsid w:val="00A136E1"/>
    <w:rsid w:val="00A223B6"/>
    <w:rsid w:val="00A24B93"/>
    <w:rsid w:val="00A42753"/>
    <w:rsid w:val="00A47CD9"/>
    <w:rsid w:val="00A51BE5"/>
    <w:rsid w:val="00A66171"/>
    <w:rsid w:val="00A70605"/>
    <w:rsid w:val="00A8198A"/>
    <w:rsid w:val="00A84547"/>
    <w:rsid w:val="00AA7BCF"/>
    <w:rsid w:val="00AE2494"/>
    <w:rsid w:val="00AE3E95"/>
    <w:rsid w:val="00AF545C"/>
    <w:rsid w:val="00B05CD1"/>
    <w:rsid w:val="00B10845"/>
    <w:rsid w:val="00B238FB"/>
    <w:rsid w:val="00B30D18"/>
    <w:rsid w:val="00B57C63"/>
    <w:rsid w:val="00B7180A"/>
    <w:rsid w:val="00B7741C"/>
    <w:rsid w:val="00B85289"/>
    <w:rsid w:val="00B922C6"/>
    <w:rsid w:val="00B9386A"/>
    <w:rsid w:val="00BA2685"/>
    <w:rsid w:val="00BA7B07"/>
    <w:rsid w:val="00BB1C90"/>
    <w:rsid w:val="00BC7BB6"/>
    <w:rsid w:val="00BE3EF1"/>
    <w:rsid w:val="00BE6C0D"/>
    <w:rsid w:val="00BE6E94"/>
    <w:rsid w:val="00C0530D"/>
    <w:rsid w:val="00C20304"/>
    <w:rsid w:val="00C40B99"/>
    <w:rsid w:val="00C70426"/>
    <w:rsid w:val="00C84606"/>
    <w:rsid w:val="00C84E01"/>
    <w:rsid w:val="00CB3893"/>
    <w:rsid w:val="00CC0300"/>
    <w:rsid w:val="00CC335B"/>
    <w:rsid w:val="00CD3DD2"/>
    <w:rsid w:val="00CD65B4"/>
    <w:rsid w:val="00CD7DF4"/>
    <w:rsid w:val="00CE3356"/>
    <w:rsid w:val="00CE638B"/>
    <w:rsid w:val="00CE65A8"/>
    <w:rsid w:val="00CF3D33"/>
    <w:rsid w:val="00CF5399"/>
    <w:rsid w:val="00D0215F"/>
    <w:rsid w:val="00D160C5"/>
    <w:rsid w:val="00D330A6"/>
    <w:rsid w:val="00D330FC"/>
    <w:rsid w:val="00D540A3"/>
    <w:rsid w:val="00D553FC"/>
    <w:rsid w:val="00D56130"/>
    <w:rsid w:val="00D56B03"/>
    <w:rsid w:val="00D578C5"/>
    <w:rsid w:val="00D620A4"/>
    <w:rsid w:val="00D667A2"/>
    <w:rsid w:val="00D81A5D"/>
    <w:rsid w:val="00D87715"/>
    <w:rsid w:val="00D8797C"/>
    <w:rsid w:val="00D96398"/>
    <w:rsid w:val="00DA0FD8"/>
    <w:rsid w:val="00DB7234"/>
    <w:rsid w:val="00DC18B8"/>
    <w:rsid w:val="00DC3FE6"/>
    <w:rsid w:val="00DC6E28"/>
    <w:rsid w:val="00DD2269"/>
    <w:rsid w:val="00DD4027"/>
    <w:rsid w:val="00DE719F"/>
    <w:rsid w:val="00DF05E3"/>
    <w:rsid w:val="00DF416E"/>
    <w:rsid w:val="00E0177F"/>
    <w:rsid w:val="00E355D0"/>
    <w:rsid w:val="00E4573C"/>
    <w:rsid w:val="00E47B0B"/>
    <w:rsid w:val="00E50497"/>
    <w:rsid w:val="00E63D3A"/>
    <w:rsid w:val="00E83DF8"/>
    <w:rsid w:val="00E963E5"/>
    <w:rsid w:val="00EA7BE6"/>
    <w:rsid w:val="00EB4C7D"/>
    <w:rsid w:val="00EB5538"/>
    <w:rsid w:val="00EE2F1C"/>
    <w:rsid w:val="00F038F4"/>
    <w:rsid w:val="00F05393"/>
    <w:rsid w:val="00F069DD"/>
    <w:rsid w:val="00F10024"/>
    <w:rsid w:val="00F177C1"/>
    <w:rsid w:val="00F24468"/>
    <w:rsid w:val="00F302D4"/>
    <w:rsid w:val="00F30909"/>
    <w:rsid w:val="00F30A93"/>
    <w:rsid w:val="00F36EFB"/>
    <w:rsid w:val="00F44135"/>
    <w:rsid w:val="00F45231"/>
    <w:rsid w:val="00F514A1"/>
    <w:rsid w:val="00F60AA4"/>
    <w:rsid w:val="00F62543"/>
    <w:rsid w:val="00F82593"/>
    <w:rsid w:val="00F85AE5"/>
    <w:rsid w:val="00FA5542"/>
    <w:rsid w:val="00FA7843"/>
    <w:rsid w:val="00FB0640"/>
    <w:rsid w:val="00FB767E"/>
    <w:rsid w:val="00FC2546"/>
    <w:rsid w:val="00FF0CB8"/>
    <w:rsid w:val="00FF24AF"/>
    <w:rsid w:val="01114FDF"/>
    <w:rsid w:val="071F5403"/>
    <w:rsid w:val="0904662D"/>
    <w:rsid w:val="09B54BE1"/>
    <w:rsid w:val="0AEE2E28"/>
    <w:rsid w:val="0F173EA0"/>
    <w:rsid w:val="11531836"/>
    <w:rsid w:val="11A00670"/>
    <w:rsid w:val="14CE04A2"/>
    <w:rsid w:val="15DD43C8"/>
    <w:rsid w:val="1AF70B5F"/>
    <w:rsid w:val="20504ABC"/>
    <w:rsid w:val="22194305"/>
    <w:rsid w:val="24AD48CC"/>
    <w:rsid w:val="25A73ACD"/>
    <w:rsid w:val="26CC7661"/>
    <w:rsid w:val="29CA060D"/>
    <w:rsid w:val="2AAB5383"/>
    <w:rsid w:val="31132BE9"/>
    <w:rsid w:val="35AB25EB"/>
    <w:rsid w:val="39203DAB"/>
    <w:rsid w:val="3A586D25"/>
    <w:rsid w:val="3B2F4433"/>
    <w:rsid w:val="3CB31FF7"/>
    <w:rsid w:val="41FD4A01"/>
    <w:rsid w:val="43720A32"/>
    <w:rsid w:val="43DE5954"/>
    <w:rsid w:val="44F26427"/>
    <w:rsid w:val="46EA2066"/>
    <w:rsid w:val="49CD75BE"/>
    <w:rsid w:val="55861A25"/>
    <w:rsid w:val="588F6F8A"/>
    <w:rsid w:val="5BB85C89"/>
    <w:rsid w:val="5E9436CE"/>
    <w:rsid w:val="625A7392"/>
    <w:rsid w:val="63202064"/>
    <w:rsid w:val="66DE7EE5"/>
    <w:rsid w:val="6F6454D6"/>
    <w:rsid w:val="6FD868EE"/>
    <w:rsid w:val="725E7BCD"/>
    <w:rsid w:val="74EA199A"/>
    <w:rsid w:val="76D90C5E"/>
    <w:rsid w:val="77AF1572"/>
    <w:rsid w:val="789A0834"/>
    <w:rsid w:val="FBBF80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zh-CN" w:bidi="ar-SA"/>
    </w:rPr>
  </w:style>
  <w:style w:type="paragraph" w:styleId="2">
    <w:name w:val="heading 1"/>
    <w:basedOn w:val="1"/>
    <w:next w:val="1"/>
    <w:link w:val="64"/>
    <w:qFormat/>
    <w:uiPriority w:val="0"/>
    <w:pPr>
      <w:widowControl w:val="0"/>
      <w:tabs>
        <w:tab w:val="right" w:leader="dot" w:pos="8630"/>
      </w:tabs>
      <w:spacing w:before="120" w:after="120" w:line="60" w:lineRule="auto"/>
      <w:outlineLvl w:val="0"/>
    </w:pPr>
    <w:rPr>
      <w:rFonts w:ascii="仿宋_GB2312" w:hAnsi="宋体" w:eastAsia="仿宋_GB2312"/>
      <w:i/>
      <w:kern w:val="44"/>
      <w:sz w:val="28"/>
      <w:szCs w:val="44"/>
    </w:rPr>
  </w:style>
  <w:style w:type="paragraph" w:styleId="3">
    <w:name w:val="heading 2"/>
    <w:basedOn w:val="1"/>
    <w:next w:val="1"/>
    <w:link w:val="65"/>
    <w:qFormat/>
    <w:uiPriority w:val="0"/>
    <w:pPr>
      <w:widowControl w:val="0"/>
      <w:autoSpaceDE w:val="0"/>
      <w:autoSpaceDN w:val="0"/>
      <w:adjustRightInd w:val="0"/>
      <w:ind w:left="220" w:hanging="220"/>
      <w:outlineLvl w:val="1"/>
    </w:pPr>
    <w:rPr>
      <w:color w:val="000000"/>
      <w:sz w:val="28"/>
      <w:szCs w:val="28"/>
      <w:lang w:val="zh-CN"/>
    </w:rPr>
  </w:style>
  <w:style w:type="paragraph" w:styleId="4">
    <w:name w:val="heading 3"/>
    <w:basedOn w:val="1"/>
    <w:next w:val="1"/>
    <w:link w:val="66"/>
    <w:qFormat/>
    <w:uiPriority w:val="0"/>
    <w:pPr>
      <w:keepNext/>
      <w:keepLines/>
      <w:widowControl w:val="0"/>
      <w:spacing w:before="260" w:after="260" w:line="416" w:lineRule="auto"/>
      <w:jc w:val="both"/>
      <w:outlineLvl w:val="2"/>
    </w:pPr>
    <w:rPr>
      <w:b/>
      <w:bCs/>
      <w:kern w:val="2"/>
      <w:sz w:val="32"/>
      <w:szCs w:val="32"/>
    </w:rPr>
  </w:style>
  <w:style w:type="paragraph" w:styleId="5">
    <w:name w:val="heading 4"/>
    <w:basedOn w:val="1"/>
    <w:next w:val="1"/>
    <w:link w:val="67"/>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7"/>
    <w:link w:val="68"/>
    <w:qFormat/>
    <w:uiPriority w:val="0"/>
    <w:pPr>
      <w:keepNext/>
      <w:keepLines/>
      <w:widowControl w:val="0"/>
      <w:tabs>
        <w:tab w:val="left" w:pos="1008"/>
      </w:tabs>
      <w:spacing w:before="280" w:after="290" w:line="376" w:lineRule="auto"/>
      <w:ind w:left="1008" w:hanging="1008"/>
      <w:jc w:val="both"/>
      <w:outlineLvl w:val="4"/>
    </w:pPr>
    <w:rPr>
      <w:b/>
      <w:kern w:val="2"/>
      <w:sz w:val="28"/>
    </w:rPr>
  </w:style>
  <w:style w:type="paragraph" w:styleId="8">
    <w:name w:val="heading 6"/>
    <w:basedOn w:val="1"/>
    <w:next w:val="7"/>
    <w:link w:val="69"/>
    <w:qFormat/>
    <w:uiPriority w:val="0"/>
    <w:pPr>
      <w:keepNext/>
      <w:keepLines/>
      <w:widowControl w:val="0"/>
      <w:tabs>
        <w:tab w:val="left" w:pos="1152"/>
      </w:tabs>
      <w:spacing w:before="240" w:after="64" w:line="320" w:lineRule="auto"/>
      <w:ind w:left="1152" w:hanging="1152"/>
      <w:jc w:val="both"/>
      <w:outlineLvl w:val="5"/>
    </w:pPr>
    <w:rPr>
      <w:rFonts w:ascii="Arial" w:hAnsi="Arial" w:eastAsia="黑体"/>
      <w:b/>
      <w:kern w:val="2"/>
      <w:sz w:val="24"/>
    </w:rPr>
  </w:style>
  <w:style w:type="paragraph" w:styleId="9">
    <w:name w:val="heading 7"/>
    <w:basedOn w:val="1"/>
    <w:next w:val="7"/>
    <w:link w:val="70"/>
    <w:qFormat/>
    <w:uiPriority w:val="0"/>
    <w:pPr>
      <w:keepNext/>
      <w:keepLines/>
      <w:widowControl w:val="0"/>
      <w:tabs>
        <w:tab w:val="left" w:pos="1296"/>
      </w:tabs>
      <w:spacing w:before="240" w:after="64" w:line="320" w:lineRule="auto"/>
      <w:ind w:left="1296" w:hanging="1296"/>
      <w:jc w:val="both"/>
      <w:outlineLvl w:val="6"/>
    </w:pPr>
    <w:rPr>
      <w:b/>
      <w:kern w:val="2"/>
      <w:sz w:val="24"/>
    </w:rPr>
  </w:style>
  <w:style w:type="paragraph" w:styleId="10">
    <w:name w:val="heading 8"/>
    <w:basedOn w:val="1"/>
    <w:next w:val="7"/>
    <w:link w:val="71"/>
    <w:qFormat/>
    <w:uiPriority w:val="0"/>
    <w:pPr>
      <w:keepNext/>
      <w:keepLines/>
      <w:widowControl w:val="0"/>
      <w:tabs>
        <w:tab w:val="left" w:pos="1440"/>
      </w:tabs>
      <w:spacing w:before="240" w:after="64" w:line="320" w:lineRule="auto"/>
      <w:ind w:left="1440" w:hanging="1440"/>
      <w:jc w:val="both"/>
      <w:outlineLvl w:val="7"/>
    </w:pPr>
    <w:rPr>
      <w:rFonts w:ascii="Arial" w:hAnsi="Arial" w:eastAsia="黑体"/>
      <w:kern w:val="2"/>
      <w:sz w:val="24"/>
    </w:rPr>
  </w:style>
  <w:style w:type="paragraph" w:styleId="11">
    <w:name w:val="heading 9"/>
    <w:basedOn w:val="1"/>
    <w:next w:val="7"/>
    <w:link w:val="72"/>
    <w:qFormat/>
    <w:uiPriority w:val="0"/>
    <w:pPr>
      <w:keepNext/>
      <w:keepLines/>
      <w:widowControl w:val="0"/>
      <w:tabs>
        <w:tab w:val="left" w:pos="1584"/>
      </w:tabs>
      <w:spacing w:before="240" w:after="64" w:line="320" w:lineRule="auto"/>
      <w:ind w:left="1584" w:hanging="1584"/>
      <w:jc w:val="both"/>
      <w:outlineLvl w:val="8"/>
    </w:pPr>
    <w:rPr>
      <w:rFonts w:ascii="Arial" w:hAnsi="Arial" w:eastAsia="黑体"/>
      <w:kern w:val="2"/>
      <w:sz w:val="21"/>
    </w:rPr>
  </w:style>
  <w:style w:type="character" w:default="1" w:styleId="53">
    <w:name w:val="Default Paragraph Font"/>
    <w:semiHidden/>
    <w:uiPriority w:val="0"/>
  </w:style>
  <w:style w:type="table" w:default="1" w:styleId="51">
    <w:name w:val="Normal Table"/>
    <w:semiHidden/>
    <w:uiPriority w:val="0"/>
    <w:tblPr>
      <w:tblStyle w:val="51"/>
      <w:tblCellMar>
        <w:top w:w="0" w:type="dxa"/>
        <w:left w:w="108" w:type="dxa"/>
        <w:bottom w:w="0" w:type="dxa"/>
        <w:right w:w="108" w:type="dxa"/>
      </w:tblCellMar>
    </w:tblPr>
  </w:style>
  <w:style w:type="paragraph" w:styleId="7">
    <w:name w:val="Normal Indent"/>
    <w:basedOn w:val="1"/>
    <w:uiPriority w:val="0"/>
    <w:pPr>
      <w:widowControl w:val="0"/>
      <w:snapToGrid w:val="0"/>
      <w:spacing w:line="300" w:lineRule="auto"/>
      <w:ind w:firstLine="420"/>
      <w:jc w:val="both"/>
    </w:pPr>
    <w:rPr>
      <w:kern w:val="2"/>
      <w:sz w:val="21"/>
    </w:rPr>
  </w:style>
  <w:style w:type="paragraph" w:styleId="12">
    <w:name w:val="List Number 2"/>
    <w:basedOn w:val="1"/>
    <w:uiPriority w:val="0"/>
    <w:pPr>
      <w:tabs>
        <w:tab w:val="left" w:pos="360"/>
        <w:tab w:val="left" w:pos="425"/>
        <w:tab w:val="left" w:pos="643"/>
      </w:tabs>
      <w:spacing w:before="60" w:after="60"/>
      <w:ind w:left="425" w:hanging="425"/>
    </w:pPr>
    <w:rPr>
      <w:rFonts w:eastAsia="Times New Roman"/>
      <w:sz w:val="22"/>
      <w:lang w:val="en-GB" w:eastAsia="en-US"/>
    </w:rPr>
  </w:style>
  <w:style w:type="paragraph" w:styleId="13">
    <w:name w:val="List Bullet 4"/>
    <w:basedOn w:val="1"/>
    <w:uiPriority w:val="0"/>
    <w:pPr>
      <w:tabs>
        <w:tab w:val="left" w:pos="360"/>
        <w:tab w:val="left" w:pos="1440"/>
      </w:tabs>
      <w:spacing w:before="60" w:after="60"/>
      <w:ind w:left="1440" w:hanging="360"/>
    </w:pPr>
    <w:rPr>
      <w:rFonts w:eastAsia="Times New Roman"/>
      <w:sz w:val="22"/>
      <w:lang w:val="en-GB" w:eastAsia="en-US"/>
    </w:rPr>
  </w:style>
  <w:style w:type="paragraph" w:styleId="14">
    <w:name w:val="index 8"/>
    <w:basedOn w:val="1"/>
    <w:next w:val="1"/>
    <w:uiPriority w:val="0"/>
    <w:pPr>
      <w:widowControl w:val="0"/>
      <w:tabs>
        <w:tab w:val="right" w:leader="dot" w:pos="6416"/>
      </w:tabs>
      <w:ind w:left="1760" w:hanging="220"/>
    </w:pPr>
    <w:rPr>
      <w:rFonts w:eastAsia="Times New Roman"/>
      <w:sz w:val="22"/>
      <w:lang w:eastAsia="en-US"/>
    </w:rPr>
  </w:style>
  <w:style w:type="paragraph" w:styleId="15">
    <w:name w:val="List Number"/>
    <w:basedOn w:val="1"/>
    <w:uiPriority w:val="0"/>
    <w:pPr>
      <w:tabs>
        <w:tab w:val="left" w:pos="360"/>
        <w:tab w:val="left" w:pos="600"/>
        <w:tab w:val="left" w:pos="1492"/>
      </w:tabs>
      <w:spacing w:before="60" w:after="60"/>
      <w:ind w:left="600" w:hanging="600"/>
    </w:pPr>
    <w:rPr>
      <w:rFonts w:eastAsia="Times New Roman"/>
      <w:sz w:val="22"/>
      <w:lang w:val="en-GB" w:eastAsia="en-US"/>
    </w:rPr>
  </w:style>
  <w:style w:type="paragraph" w:styleId="16">
    <w:name w:val="caption"/>
    <w:basedOn w:val="1"/>
    <w:next w:val="1"/>
    <w:qFormat/>
    <w:uiPriority w:val="0"/>
    <w:pPr>
      <w:spacing w:after="200" w:line="252" w:lineRule="auto"/>
    </w:pPr>
    <w:rPr>
      <w:rFonts w:ascii="Cambria" w:hAnsi="Cambria"/>
      <w:caps/>
      <w:spacing w:val="10"/>
      <w:sz w:val="18"/>
      <w:szCs w:val="18"/>
    </w:rPr>
  </w:style>
  <w:style w:type="paragraph" w:styleId="17">
    <w:name w:val="List Bullet"/>
    <w:basedOn w:val="1"/>
    <w:uiPriority w:val="0"/>
    <w:pPr>
      <w:widowControl w:val="0"/>
      <w:tabs>
        <w:tab w:val="left" w:pos="360"/>
        <w:tab w:val="left" w:pos="4410"/>
      </w:tabs>
      <w:spacing w:before="120"/>
      <w:ind w:left="360" w:hanging="360"/>
      <w:jc w:val="both"/>
    </w:pPr>
    <w:rPr>
      <w:kern w:val="2"/>
      <w:sz w:val="22"/>
    </w:rPr>
  </w:style>
  <w:style w:type="paragraph" w:styleId="18">
    <w:name w:val="Document Map"/>
    <w:basedOn w:val="1"/>
    <w:link w:val="73"/>
    <w:uiPriority w:val="99"/>
    <w:pPr>
      <w:widowControl w:val="0"/>
      <w:shd w:val="clear" w:color="auto" w:fill="000080"/>
      <w:jc w:val="both"/>
    </w:pPr>
    <w:rPr>
      <w:kern w:val="2"/>
      <w:sz w:val="21"/>
      <w:szCs w:val="24"/>
    </w:rPr>
  </w:style>
  <w:style w:type="paragraph" w:styleId="19">
    <w:name w:val="annotation text"/>
    <w:basedOn w:val="1"/>
    <w:link w:val="74"/>
    <w:uiPriority w:val="0"/>
    <w:pPr>
      <w:widowControl w:val="0"/>
    </w:pPr>
    <w:rPr>
      <w:kern w:val="2"/>
      <w:sz w:val="21"/>
      <w:szCs w:val="24"/>
    </w:rPr>
  </w:style>
  <w:style w:type="paragraph" w:styleId="20">
    <w:name w:val="index 6"/>
    <w:basedOn w:val="1"/>
    <w:next w:val="1"/>
    <w:uiPriority w:val="0"/>
    <w:pPr>
      <w:widowControl w:val="0"/>
      <w:tabs>
        <w:tab w:val="right" w:leader="dot" w:pos="6416"/>
      </w:tabs>
      <w:ind w:left="1320" w:hanging="220"/>
    </w:pPr>
    <w:rPr>
      <w:rFonts w:eastAsia="Times New Roman"/>
      <w:sz w:val="22"/>
      <w:lang w:eastAsia="en-US"/>
    </w:rPr>
  </w:style>
  <w:style w:type="paragraph" w:styleId="21">
    <w:name w:val="Body Text 3"/>
    <w:basedOn w:val="1"/>
    <w:link w:val="75"/>
    <w:qFormat/>
    <w:uiPriority w:val="0"/>
    <w:pPr>
      <w:widowControl w:val="0"/>
      <w:spacing w:after="120"/>
      <w:jc w:val="both"/>
    </w:pPr>
    <w:rPr>
      <w:kern w:val="2"/>
      <w:sz w:val="16"/>
      <w:szCs w:val="16"/>
    </w:rPr>
  </w:style>
  <w:style w:type="paragraph" w:styleId="22">
    <w:name w:val="Closing"/>
    <w:basedOn w:val="1"/>
    <w:link w:val="76"/>
    <w:uiPriority w:val="0"/>
    <w:pPr>
      <w:spacing w:before="120" w:after="120" w:line="240" w:lineRule="atLeast"/>
      <w:jc w:val="both"/>
    </w:pPr>
    <w:rPr>
      <w:rFonts w:ascii="Arial" w:hAnsi="Arial"/>
      <w:sz w:val="16"/>
      <w:lang w:eastAsia="it-IT"/>
    </w:rPr>
  </w:style>
  <w:style w:type="paragraph" w:styleId="23">
    <w:name w:val="List Bullet 3"/>
    <w:basedOn w:val="1"/>
    <w:uiPriority w:val="0"/>
    <w:pPr>
      <w:widowControl w:val="0"/>
      <w:numPr>
        <w:ilvl w:val="0"/>
        <w:numId w:val="1"/>
      </w:numPr>
      <w:tabs>
        <w:tab w:val="left" w:pos="1200"/>
      </w:tabs>
      <w:jc w:val="both"/>
    </w:pPr>
    <w:rPr>
      <w:kern w:val="2"/>
      <w:sz w:val="21"/>
      <w:szCs w:val="24"/>
    </w:rPr>
  </w:style>
  <w:style w:type="paragraph" w:styleId="24">
    <w:name w:val="Body Text"/>
    <w:basedOn w:val="1"/>
    <w:link w:val="77"/>
    <w:uiPriority w:val="0"/>
    <w:pPr>
      <w:spacing w:line="300" w:lineRule="auto"/>
    </w:pPr>
    <w:rPr>
      <w:spacing w:val="18"/>
      <w:sz w:val="28"/>
      <w:lang w:eastAsia="zh-CN"/>
    </w:rPr>
  </w:style>
  <w:style w:type="paragraph" w:styleId="25">
    <w:name w:val="Body Text Indent"/>
    <w:basedOn w:val="1"/>
    <w:link w:val="78"/>
    <w:uiPriority w:val="0"/>
    <w:pPr>
      <w:widowControl w:val="0"/>
      <w:snapToGrid w:val="0"/>
      <w:spacing w:line="360" w:lineRule="auto"/>
      <w:ind w:firstLine="420"/>
      <w:jc w:val="both"/>
    </w:pPr>
    <w:rPr>
      <w:kern w:val="2"/>
      <w:sz w:val="21"/>
    </w:rPr>
  </w:style>
  <w:style w:type="paragraph" w:styleId="26">
    <w:name w:val="List Number 3"/>
    <w:basedOn w:val="1"/>
    <w:uiPriority w:val="0"/>
    <w:pPr>
      <w:tabs>
        <w:tab w:val="left" w:pos="360"/>
        <w:tab w:val="left" w:pos="926"/>
        <w:tab w:val="left" w:pos="1492"/>
      </w:tabs>
      <w:spacing w:before="60" w:after="60"/>
      <w:ind w:left="360" w:hanging="360"/>
    </w:pPr>
    <w:rPr>
      <w:rFonts w:eastAsia="Times New Roman"/>
      <w:sz w:val="22"/>
      <w:lang w:val="en-GB" w:eastAsia="en-US"/>
    </w:rPr>
  </w:style>
  <w:style w:type="paragraph" w:styleId="27">
    <w:name w:val="Block Text"/>
    <w:basedOn w:val="1"/>
    <w:qFormat/>
    <w:uiPriority w:val="0"/>
    <w:pPr>
      <w:ind w:left="-90" w:right="-108"/>
      <w:jc w:val="both"/>
    </w:pPr>
    <w:rPr>
      <w:sz w:val="22"/>
      <w:lang w:val="en-GB" w:eastAsia="en-US"/>
    </w:rPr>
  </w:style>
  <w:style w:type="paragraph" w:styleId="28">
    <w:name w:val="List Bullet 2"/>
    <w:basedOn w:val="1"/>
    <w:uiPriority w:val="0"/>
    <w:pPr>
      <w:widowControl w:val="0"/>
      <w:tabs>
        <w:tab w:val="left" w:pos="425"/>
      </w:tabs>
      <w:ind w:left="846" w:hanging="420"/>
      <w:contextualSpacing/>
      <w:jc w:val="both"/>
    </w:pPr>
    <w:rPr>
      <w:kern w:val="2"/>
      <w:sz w:val="21"/>
      <w:szCs w:val="24"/>
    </w:rPr>
  </w:style>
  <w:style w:type="paragraph" w:styleId="29">
    <w:name w:val="toc 3"/>
    <w:basedOn w:val="1"/>
    <w:next w:val="1"/>
    <w:unhideWhenUsed/>
    <w:qFormat/>
    <w:uiPriority w:val="39"/>
    <w:pPr>
      <w:tabs>
        <w:tab w:val="right" w:leader="dot" w:pos="9628"/>
      </w:tabs>
      <w:ind w:left="840" w:leftChars="400"/>
    </w:pPr>
    <w:rPr>
      <w:rFonts w:ascii="Calibri" w:hAnsi="Calibri"/>
      <w:szCs w:val="22"/>
    </w:rPr>
  </w:style>
  <w:style w:type="paragraph" w:styleId="30">
    <w:name w:val="Plain Text"/>
    <w:basedOn w:val="1"/>
    <w:link w:val="79"/>
    <w:uiPriority w:val="0"/>
    <w:pPr>
      <w:widowControl w:val="0"/>
      <w:spacing w:line="360" w:lineRule="auto"/>
      <w:jc w:val="both"/>
    </w:pPr>
    <w:rPr>
      <w:rFonts w:ascii="宋体" w:hAnsi="Courier New"/>
      <w:kern w:val="2"/>
      <w:sz w:val="24"/>
    </w:rPr>
  </w:style>
  <w:style w:type="paragraph" w:styleId="31">
    <w:name w:val="List Bullet 5"/>
    <w:basedOn w:val="1"/>
    <w:uiPriority w:val="0"/>
    <w:pPr>
      <w:tabs>
        <w:tab w:val="left" w:pos="643"/>
        <w:tab w:val="left" w:pos="1800"/>
      </w:tabs>
      <w:spacing w:before="60" w:after="60"/>
      <w:ind w:left="1800" w:hanging="360"/>
    </w:pPr>
    <w:rPr>
      <w:rFonts w:eastAsia="Times New Roman"/>
      <w:sz w:val="22"/>
      <w:lang w:val="en-GB" w:eastAsia="en-US"/>
    </w:rPr>
  </w:style>
  <w:style w:type="paragraph" w:styleId="32">
    <w:name w:val="List Number 4"/>
    <w:basedOn w:val="1"/>
    <w:uiPriority w:val="0"/>
    <w:pPr>
      <w:tabs>
        <w:tab w:val="left" w:pos="926"/>
        <w:tab w:val="left" w:pos="1209"/>
      </w:tabs>
      <w:spacing w:before="60" w:after="60"/>
      <w:ind w:left="420" w:hanging="420"/>
    </w:pPr>
    <w:rPr>
      <w:rFonts w:eastAsia="Times New Roman"/>
      <w:sz w:val="22"/>
      <w:lang w:val="en-GB" w:eastAsia="en-US"/>
    </w:rPr>
  </w:style>
  <w:style w:type="paragraph" w:styleId="33">
    <w:name w:val="Date"/>
    <w:basedOn w:val="1"/>
    <w:next w:val="1"/>
    <w:link w:val="80"/>
    <w:uiPriority w:val="0"/>
    <w:pPr>
      <w:ind w:left="100" w:leftChars="2500"/>
    </w:pPr>
  </w:style>
  <w:style w:type="paragraph" w:styleId="34">
    <w:name w:val="Body Text Indent 2"/>
    <w:basedOn w:val="1"/>
    <w:link w:val="81"/>
    <w:uiPriority w:val="0"/>
    <w:pPr>
      <w:widowControl w:val="0"/>
      <w:spacing w:line="360" w:lineRule="auto"/>
      <w:ind w:firstLine="480" w:firstLineChars="200"/>
      <w:jc w:val="both"/>
    </w:pPr>
    <w:rPr>
      <w:kern w:val="2"/>
      <w:sz w:val="24"/>
      <w:szCs w:val="24"/>
    </w:rPr>
  </w:style>
  <w:style w:type="paragraph" w:styleId="35">
    <w:name w:val="endnote text"/>
    <w:basedOn w:val="1"/>
    <w:link w:val="82"/>
    <w:uiPriority w:val="0"/>
    <w:pPr>
      <w:widowControl w:val="0"/>
      <w:snapToGrid w:val="0"/>
    </w:pPr>
    <w:rPr>
      <w:kern w:val="2"/>
      <w:sz w:val="21"/>
      <w:szCs w:val="24"/>
    </w:rPr>
  </w:style>
  <w:style w:type="paragraph" w:styleId="36">
    <w:name w:val="Balloon Text"/>
    <w:basedOn w:val="1"/>
    <w:link w:val="83"/>
    <w:uiPriority w:val="99"/>
    <w:rPr>
      <w:sz w:val="18"/>
      <w:szCs w:val="18"/>
    </w:rPr>
  </w:style>
  <w:style w:type="paragraph" w:styleId="37">
    <w:name w:val="footer"/>
    <w:basedOn w:val="1"/>
    <w:link w:val="84"/>
    <w:qFormat/>
    <w:uiPriority w:val="99"/>
    <w:pPr>
      <w:tabs>
        <w:tab w:val="center" w:pos="4153"/>
        <w:tab w:val="right" w:pos="8306"/>
      </w:tabs>
      <w:snapToGrid w:val="0"/>
    </w:pPr>
    <w:rPr>
      <w:sz w:val="18"/>
      <w:szCs w:val="18"/>
    </w:rPr>
  </w:style>
  <w:style w:type="paragraph" w:styleId="38">
    <w:name w:val="header"/>
    <w:basedOn w:val="1"/>
    <w:link w:val="85"/>
    <w:qFormat/>
    <w:uiPriority w:val="0"/>
    <w:pPr>
      <w:pBdr>
        <w:bottom w:val="single" w:color="auto" w:sz="6" w:space="1"/>
      </w:pBdr>
      <w:tabs>
        <w:tab w:val="center" w:pos="4153"/>
        <w:tab w:val="right" w:pos="8306"/>
      </w:tabs>
      <w:overflowPunct w:val="0"/>
      <w:autoSpaceDE w:val="0"/>
      <w:autoSpaceDN w:val="0"/>
      <w:adjustRightInd w:val="0"/>
      <w:snapToGrid w:val="0"/>
      <w:jc w:val="center"/>
      <w:textAlignment w:val="baseline"/>
    </w:pPr>
    <w:rPr>
      <w:sz w:val="18"/>
      <w:szCs w:val="18"/>
    </w:rPr>
  </w:style>
  <w:style w:type="paragraph" w:styleId="39">
    <w:name w:val="toc 1"/>
    <w:basedOn w:val="1"/>
    <w:next w:val="1"/>
    <w:uiPriority w:val="0"/>
  </w:style>
  <w:style w:type="paragraph" w:styleId="40">
    <w:name w:val="Subtitle"/>
    <w:basedOn w:val="1"/>
    <w:next w:val="1"/>
    <w:link w:val="86"/>
    <w:qFormat/>
    <w:uiPriority w:val="0"/>
    <w:pPr>
      <w:spacing w:after="560"/>
      <w:jc w:val="center"/>
    </w:pPr>
    <w:rPr>
      <w:rFonts w:ascii="Cambria" w:hAnsi="Cambria"/>
      <w:caps/>
      <w:spacing w:val="20"/>
      <w:sz w:val="18"/>
      <w:szCs w:val="18"/>
    </w:rPr>
  </w:style>
  <w:style w:type="paragraph" w:styleId="41">
    <w:name w:val="List Number 5"/>
    <w:basedOn w:val="1"/>
    <w:uiPriority w:val="0"/>
    <w:pPr>
      <w:tabs>
        <w:tab w:val="left" w:pos="360"/>
        <w:tab w:val="left" w:pos="1209"/>
        <w:tab w:val="left" w:pos="1492"/>
      </w:tabs>
      <w:spacing w:before="60" w:after="60"/>
      <w:ind w:left="360" w:hanging="360"/>
    </w:pPr>
    <w:rPr>
      <w:rFonts w:eastAsia="Times New Roman"/>
      <w:sz w:val="22"/>
      <w:lang w:val="en-GB" w:eastAsia="en-US"/>
    </w:rPr>
  </w:style>
  <w:style w:type="paragraph" w:styleId="42">
    <w:name w:val="footnote text"/>
    <w:basedOn w:val="1"/>
    <w:link w:val="87"/>
    <w:uiPriority w:val="0"/>
    <w:pPr>
      <w:spacing w:line="220" w:lineRule="atLeast"/>
      <w:ind w:left="144" w:hanging="144"/>
      <w:jc w:val="both"/>
    </w:pPr>
    <w:rPr>
      <w:kern w:val="2"/>
      <w:sz w:val="18"/>
      <w:szCs w:val="18"/>
    </w:rPr>
  </w:style>
  <w:style w:type="paragraph" w:styleId="43">
    <w:name w:val="Body Text Indent 3"/>
    <w:basedOn w:val="1"/>
    <w:link w:val="88"/>
    <w:qFormat/>
    <w:uiPriority w:val="0"/>
    <w:pPr>
      <w:widowControl w:val="0"/>
      <w:spacing w:line="360" w:lineRule="auto"/>
      <w:ind w:firstLine="420" w:firstLineChars="200"/>
    </w:pPr>
    <w:rPr>
      <w:rFonts w:ascii="宋体" w:hAnsi="宋体"/>
      <w:kern w:val="2"/>
      <w:sz w:val="21"/>
      <w:szCs w:val="24"/>
    </w:rPr>
  </w:style>
  <w:style w:type="paragraph" w:styleId="44">
    <w:name w:val="table of figures"/>
    <w:basedOn w:val="1"/>
    <w:next w:val="1"/>
    <w:uiPriority w:val="0"/>
    <w:pPr>
      <w:tabs>
        <w:tab w:val="right" w:pos="8222"/>
        <w:tab w:val="right" w:leader="dot" w:pos="9781"/>
      </w:tabs>
    </w:pPr>
    <w:rPr>
      <w:rFonts w:eastAsia="Times New Roman"/>
      <w:i/>
      <w:sz w:val="22"/>
      <w:lang w:val="en-GB" w:eastAsia="en-US"/>
    </w:rPr>
  </w:style>
  <w:style w:type="paragraph" w:styleId="45">
    <w:name w:val="toc 2"/>
    <w:basedOn w:val="1"/>
    <w:next w:val="1"/>
    <w:qFormat/>
    <w:uiPriority w:val="39"/>
    <w:pPr>
      <w:tabs>
        <w:tab w:val="left" w:pos="1050"/>
        <w:tab w:val="right" w:leader="dot" w:pos="9628"/>
      </w:tabs>
      <w:ind w:left="420" w:leftChars="200"/>
    </w:pPr>
    <w:rPr>
      <w:szCs w:val="20"/>
    </w:rPr>
  </w:style>
  <w:style w:type="paragraph" w:styleId="46">
    <w:name w:val="Body Text 2"/>
    <w:basedOn w:val="1"/>
    <w:link w:val="89"/>
    <w:qFormat/>
    <w:uiPriority w:val="0"/>
    <w:pPr>
      <w:widowControl w:val="0"/>
      <w:spacing w:after="120" w:line="480" w:lineRule="auto"/>
      <w:jc w:val="both"/>
    </w:pPr>
    <w:rPr>
      <w:kern w:val="2"/>
      <w:sz w:val="21"/>
      <w:szCs w:val="24"/>
    </w:rPr>
  </w:style>
  <w:style w:type="paragraph" w:styleId="47">
    <w:name w:val="HTML Preformatted"/>
    <w:basedOn w:val="1"/>
    <w:link w:val="90"/>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rPr>
  </w:style>
  <w:style w:type="paragraph" w:styleId="48">
    <w:name w:val="Normal (Web)"/>
    <w:basedOn w:val="1"/>
    <w:uiPriority w:val="99"/>
    <w:pPr>
      <w:spacing w:before="100" w:beforeAutospacing="1" w:after="100" w:afterAutospacing="1"/>
    </w:pPr>
    <w:rPr>
      <w:rFonts w:ascii="宋体" w:hAnsi="宋体" w:cs="宋体"/>
      <w:sz w:val="24"/>
      <w:szCs w:val="24"/>
    </w:rPr>
  </w:style>
  <w:style w:type="paragraph" w:styleId="49">
    <w:name w:val="Title"/>
    <w:basedOn w:val="1"/>
    <w:next w:val="1"/>
    <w:link w:val="91"/>
    <w:qFormat/>
    <w:uiPriority w:val="0"/>
    <w:pPr>
      <w:widowControl w:val="0"/>
      <w:spacing w:before="240" w:after="60"/>
      <w:jc w:val="center"/>
      <w:outlineLvl w:val="0"/>
    </w:pPr>
    <w:rPr>
      <w:rFonts w:ascii="Cambria" w:hAnsi="Cambria"/>
      <w:b/>
      <w:bCs/>
      <w:kern w:val="2"/>
      <w:sz w:val="32"/>
      <w:szCs w:val="32"/>
    </w:rPr>
  </w:style>
  <w:style w:type="paragraph" w:styleId="50">
    <w:name w:val="annotation subject"/>
    <w:basedOn w:val="19"/>
    <w:next w:val="19"/>
    <w:link w:val="92"/>
    <w:uiPriority w:val="0"/>
    <w:rPr>
      <w:b/>
      <w:bCs/>
      <w:szCs w:val="20"/>
      <w:lang w:val="en-US" w:eastAsia="zh-CN"/>
    </w:rPr>
  </w:style>
  <w:style w:type="table" w:styleId="52">
    <w:name w:val="Table Grid"/>
    <w:basedOn w:val="51"/>
    <w:qFormat/>
    <w:uiPriority w:val="0"/>
    <w:pPr>
      <w:widowControl w:val="0"/>
      <w:jc w:val="both"/>
    </w:pPr>
    <w:tblPr>
      <w:tblStyle w:val="5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rFonts w:ascii="Tahoma" w:hAnsi="Tahoma"/>
      <w:b/>
      <w:sz w:val="24"/>
    </w:rPr>
  </w:style>
  <w:style w:type="character" w:styleId="55">
    <w:name w:val="page number"/>
    <w:qFormat/>
    <w:uiPriority w:val="0"/>
  </w:style>
  <w:style w:type="character" w:styleId="56">
    <w:name w:val="FollowedHyperlink"/>
    <w:uiPriority w:val="0"/>
    <w:rPr>
      <w:color w:val="954F72"/>
      <w:u w:val="single"/>
    </w:rPr>
  </w:style>
  <w:style w:type="character" w:styleId="57">
    <w:name w:val="Emphasis"/>
    <w:qFormat/>
    <w:uiPriority w:val="0"/>
    <w:rPr>
      <w:i/>
      <w:iCs/>
    </w:rPr>
  </w:style>
  <w:style w:type="character" w:styleId="58">
    <w:name w:val="HTML Variable"/>
    <w:uiPriority w:val="0"/>
    <w:rPr>
      <w:rFonts w:ascii="Tahoma" w:hAnsi="Tahoma"/>
      <w:i/>
      <w:sz w:val="24"/>
    </w:rPr>
  </w:style>
  <w:style w:type="character" w:styleId="59">
    <w:name w:val="Hyperlink"/>
    <w:qFormat/>
    <w:uiPriority w:val="0"/>
    <w:rPr>
      <w:color w:val="0000FF"/>
      <w:u w:val="single"/>
    </w:rPr>
  </w:style>
  <w:style w:type="character" w:styleId="60">
    <w:name w:val="HTML Code"/>
    <w:uiPriority w:val="0"/>
    <w:rPr>
      <w:rFonts w:ascii="Courier New" w:hAnsi="Courier New"/>
      <w:sz w:val="14"/>
      <w:szCs w:val="14"/>
    </w:rPr>
  </w:style>
  <w:style w:type="character" w:styleId="61">
    <w:name w:val="annotation reference"/>
    <w:uiPriority w:val="0"/>
    <w:rPr>
      <w:sz w:val="21"/>
      <w:szCs w:val="21"/>
    </w:rPr>
  </w:style>
  <w:style w:type="character" w:styleId="62">
    <w:name w:val="HTML Cite"/>
    <w:uiPriority w:val="0"/>
    <w:rPr>
      <w:rFonts w:ascii="Tahoma" w:hAnsi="Tahoma"/>
      <w:i/>
      <w:sz w:val="24"/>
    </w:rPr>
  </w:style>
  <w:style w:type="character" w:styleId="63">
    <w:name w:val="footnote reference"/>
    <w:uiPriority w:val="0"/>
    <w:rPr>
      <w:rFonts w:ascii="Tahoma" w:hAnsi="Tahoma"/>
      <w:b/>
      <w:sz w:val="20"/>
      <w:shd w:val="clear" w:color="auto" w:fill="auto"/>
      <w:vertAlign w:val="superscript"/>
    </w:rPr>
  </w:style>
  <w:style w:type="character" w:customStyle="1" w:styleId="64">
    <w:name w:val="标题 1 字符1"/>
    <w:link w:val="2"/>
    <w:qFormat/>
    <w:uiPriority w:val="0"/>
    <w:rPr>
      <w:rFonts w:ascii="仿宋_GB2312" w:hAnsi="宋体" w:eastAsia="仿宋_GB2312"/>
      <w:i/>
      <w:kern w:val="44"/>
      <w:sz w:val="28"/>
      <w:szCs w:val="44"/>
    </w:rPr>
  </w:style>
  <w:style w:type="character" w:customStyle="1" w:styleId="65">
    <w:name w:val="标题 2 字符"/>
    <w:link w:val="3"/>
    <w:uiPriority w:val="0"/>
    <w:rPr>
      <w:color w:val="000000"/>
      <w:sz w:val="28"/>
      <w:szCs w:val="28"/>
      <w:lang w:val="zh-CN"/>
    </w:rPr>
  </w:style>
  <w:style w:type="character" w:customStyle="1" w:styleId="66">
    <w:name w:val="标题 3 字符1"/>
    <w:link w:val="4"/>
    <w:uiPriority w:val="0"/>
    <w:rPr>
      <w:b/>
      <w:bCs/>
      <w:kern w:val="2"/>
      <w:sz w:val="32"/>
      <w:szCs w:val="32"/>
    </w:rPr>
  </w:style>
  <w:style w:type="character" w:customStyle="1" w:styleId="67">
    <w:name w:val="标题 4 字符"/>
    <w:link w:val="5"/>
    <w:uiPriority w:val="0"/>
    <w:rPr>
      <w:rFonts w:ascii="Cambria" w:hAnsi="Cambria" w:eastAsia="宋体" w:cs="Times New Roman"/>
      <w:b/>
      <w:bCs/>
      <w:sz w:val="28"/>
      <w:szCs w:val="28"/>
    </w:rPr>
  </w:style>
  <w:style w:type="character" w:customStyle="1" w:styleId="68">
    <w:name w:val="标题 5 字符1"/>
    <w:link w:val="6"/>
    <w:uiPriority w:val="0"/>
    <w:rPr>
      <w:b/>
      <w:kern w:val="2"/>
      <w:sz w:val="28"/>
    </w:rPr>
  </w:style>
  <w:style w:type="character" w:customStyle="1" w:styleId="69">
    <w:name w:val="标题 6 字符1"/>
    <w:link w:val="8"/>
    <w:uiPriority w:val="0"/>
    <w:rPr>
      <w:rFonts w:ascii="Arial" w:hAnsi="Arial" w:eastAsia="黑体"/>
      <w:b/>
      <w:kern w:val="2"/>
      <w:sz w:val="24"/>
    </w:rPr>
  </w:style>
  <w:style w:type="character" w:customStyle="1" w:styleId="70">
    <w:name w:val="标题 7 字符1"/>
    <w:link w:val="9"/>
    <w:uiPriority w:val="0"/>
    <w:rPr>
      <w:b/>
      <w:kern w:val="2"/>
      <w:sz w:val="24"/>
    </w:rPr>
  </w:style>
  <w:style w:type="character" w:customStyle="1" w:styleId="71">
    <w:name w:val="标题 8 字符1"/>
    <w:link w:val="10"/>
    <w:uiPriority w:val="0"/>
    <w:rPr>
      <w:rFonts w:ascii="Arial" w:hAnsi="Arial" w:eastAsia="黑体"/>
      <w:kern w:val="2"/>
      <w:sz w:val="24"/>
    </w:rPr>
  </w:style>
  <w:style w:type="character" w:customStyle="1" w:styleId="72">
    <w:name w:val="标题 9 字符1"/>
    <w:link w:val="11"/>
    <w:uiPriority w:val="0"/>
    <w:rPr>
      <w:rFonts w:ascii="Arial" w:hAnsi="Arial" w:eastAsia="黑体"/>
      <w:kern w:val="2"/>
      <w:sz w:val="21"/>
    </w:rPr>
  </w:style>
  <w:style w:type="character" w:customStyle="1" w:styleId="73">
    <w:name w:val="文档结构图 字符1"/>
    <w:link w:val="18"/>
    <w:uiPriority w:val="99"/>
    <w:rPr>
      <w:kern w:val="2"/>
      <w:sz w:val="21"/>
      <w:szCs w:val="24"/>
      <w:shd w:val="clear" w:color="auto" w:fill="000080"/>
    </w:rPr>
  </w:style>
  <w:style w:type="character" w:customStyle="1" w:styleId="74">
    <w:name w:val="批注文字 字符1"/>
    <w:link w:val="19"/>
    <w:uiPriority w:val="0"/>
    <w:rPr>
      <w:kern w:val="2"/>
      <w:sz w:val="21"/>
      <w:szCs w:val="24"/>
    </w:rPr>
  </w:style>
  <w:style w:type="character" w:customStyle="1" w:styleId="75">
    <w:name w:val="正文文本 3 字符1"/>
    <w:link w:val="21"/>
    <w:uiPriority w:val="0"/>
    <w:rPr>
      <w:kern w:val="2"/>
      <w:sz w:val="16"/>
      <w:szCs w:val="16"/>
    </w:rPr>
  </w:style>
  <w:style w:type="character" w:customStyle="1" w:styleId="76">
    <w:name w:val="结束语 字符1"/>
    <w:link w:val="22"/>
    <w:uiPriority w:val="0"/>
    <w:rPr>
      <w:rFonts w:ascii="Arial" w:hAnsi="Arial"/>
      <w:sz w:val="16"/>
      <w:lang w:eastAsia="it-IT"/>
    </w:rPr>
  </w:style>
  <w:style w:type="character" w:customStyle="1" w:styleId="77">
    <w:name w:val="正文文本 字符"/>
    <w:link w:val="24"/>
    <w:uiPriority w:val="0"/>
    <w:rPr>
      <w:spacing w:val="18"/>
      <w:sz w:val="28"/>
    </w:rPr>
  </w:style>
  <w:style w:type="character" w:customStyle="1" w:styleId="78">
    <w:name w:val="正文文本缩进 字符1"/>
    <w:link w:val="25"/>
    <w:uiPriority w:val="0"/>
    <w:rPr>
      <w:kern w:val="2"/>
      <w:sz w:val="21"/>
    </w:rPr>
  </w:style>
  <w:style w:type="character" w:customStyle="1" w:styleId="79">
    <w:name w:val="纯文本 字符1"/>
    <w:link w:val="30"/>
    <w:uiPriority w:val="0"/>
    <w:rPr>
      <w:rFonts w:ascii="宋体" w:hAnsi="Courier New"/>
      <w:kern w:val="2"/>
      <w:sz w:val="24"/>
    </w:rPr>
  </w:style>
  <w:style w:type="character" w:customStyle="1" w:styleId="80">
    <w:name w:val="日期 字符"/>
    <w:basedOn w:val="53"/>
    <w:link w:val="33"/>
    <w:uiPriority w:val="0"/>
  </w:style>
  <w:style w:type="character" w:customStyle="1" w:styleId="81">
    <w:name w:val="正文文本缩进 2 字符1"/>
    <w:link w:val="34"/>
    <w:uiPriority w:val="0"/>
    <w:rPr>
      <w:kern w:val="2"/>
      <w:sz w:val="24"/>
      <w:szCs w:val="24"/>
    </w:rPr>
  </w:style>
  <w:style w:type="character" w:customStyle="1" w:styleId="82">
    <w:name w:val="尾注文本 字符1"/>
    <w:link w:val="35"/>
    <w:uiPriority w:val="0"/>
    <w:rPr>
      <w:kern w:val="2"/>
      <w:sz w:val="21"/>
      <w:szCs w:val="24"/>
    </w:rPr>
  </w:style>
  <w:style w:type="character" w:customStyle="1" w:styleId="83">
    <w:name w:val="批注框文本 字符"/>
    <w:link w:val="36"/>
    <w:uiPriority w:val="0"/>
    <w:rPr>
      <w:sz w:val="18"/>
      <w:szCs w:val="18"/>
    </w:rPr>
  </w:style>
  <w:style w:type="character" w:customStyle="1" w:styleId="84">
    <w:name w:val="页脚 字符1"/>
    <w:link w:val="37"/>
    <w:qFormat/>
    <w:uiPriority w:val="99"/>
    <w:rPr>
      <w:sz w:val="18"/>
      <w:szCs w:val="18"/>
    </w:rPr>
  </w:style>
  <w:style w:type="character" w:customStyle="1" w:styleId="85">
    <w:name w:val="页眉 字符1"/>
    <w:link w:val="38"/>
    <w:uiPriority w:val="0"/>
    <w:rPr>
      <w:sz w:val="18"/>
      <w:szCs w:val="18"/>
    </w:rPr>
  </w:style>
  <w:style w:type="character" w:customStyle="1" w:styleId="86">
    <w:name w:val="副标题 字符1"/>
    <w:link w:val="40"/>
    <w:uiPriority w:val="0"/>
    <w:rPr>
      <w:rFonts w:ascii="Cambria" w:hAnsi="Cambria"/>
      <w:caps/>
      <w:spacing w:val="20"/>
      <w:sz w:val="18"/>
      <w:szCs w:val="18"/>
    </w:rPr>
  </w:style>
  <w:style w:type="character" w:customStyle="1" w:styleId="87">
    <w:name w:val="脚注文本 字符1"/>
    <w:link w:val="42"/>
    <w:uiPriority w:val="0"/>
    <w:rPr>
      <w:kern w:val="2"/>
      <w:sz w:val="18"/>
      <w:szCs w:val="18"/>
    </w:rPr>
  </w:style>
  <w:style w:type="character" w:customStyle="1" w:styleId="88">
    <w:name w:val="正文文本缩进 3 字符1"/>
    <w:link w:val="43"/>
    <w:uiPriority w:val="0"/>
    <w:rPr>
      <w:rFonts w:ascii="宋体" w:hAnsi="宋体"/>
      <w:kern w:val="2"/>
      <w:sz w:val="21"/>
      <w:szCs w:val="24"/>
    </w:rPr>
  </w:style>
  <w:style w:type="character" w:customStyle="1" w:styleId="89">
    <w:name w:val="正文文本 2 字符1"/>
    <w:link w:val="46"/>
    <w:uiPriority w:val="0"/>
    <w:rPr>
      <w:kern w:val="2"/>
      <w:sz w:val="21"/>
      <w:szCs w:val="24"/>
    </w:rPr>
  </w:style>
  <w:style w:type="character" w:customStyle="1" w:styleId="90">
    <w:name w:val="HTML 预设格式 字符1"/>
    <w:link w:val="47"/>
    <w:uiPriority w:val="0"/>
    <w:rPr>
      <w:rFonts w:ascii="Courier New" w:hAnsi="Courier New" w:cs="Courier New"/>
      <w:kern w:val="2"/>
    </w:rPr>
  </w:style>
  <w:style w:type="character" w:customStyle="1" w:styleId="91">
    <w:name w:val="标题 字符1"/>
    <w:link w:val="49"/>
    <w:uiPriority w:val="0"/>
    <w:rPr>
      <w:rFonts w:ascii="Cambria" w:hAnsi="Cambria"/>
      <w:b/>
      <w:bCs/>
      <w:kern w:val="2"/>
      <w:sz w:val="32"/>
      <w:szCs w:val="32"/>
    </w:rPr>
  </w:style>
  <w:style w:type="character" w:customStyle="1" w:styleId="92">
    <w:name w:val="批注主题 字符1"/>
    <w:link w:val="50"/>
    <w:uiPriority w:val="0"/>
    <w:rPr>
      <w:b/>
      <w:bCs/>
      <w:kern w:val="2"/>
      <w:sz w:val="21"/>
    </w:rPr>
  </w:style>
  <w:style w:type="character" w:customStyle="1" w:styleId="93">
    <w:name w:val="正文文本缩进 字符"/>
    <w:basedOn w:val="53"/>
    <w:uiPriority w:val="0"/>
  </w:style>
  <w:style w:type="character" w:customStyle="1" w:styleId="94">
    <w:name w:val="纯文本 字符"/>
    <w:uiPriority w:val="0"/>
    <w:rPr>
      <w:rFonts w:ascii="宋体" w:hAnsi="Courier New" w:cs="Courier New"/>
      <w:sz w:val="21"/>
      <w:szCs w:val="21"/>
    </w:rPr>
  </w:style>
  <w:style w:type="character" w:customStyle="1" w:styleId="95">
    <w:name w:val="脚注文本 字符"/>
    <w:uiPriority w:val="0"/>
    <w:rPr>
      <w:sz w:val="18"/>
      <w:szCs w:val="18"/>
    </w:rPr>
  </w:style>
  <w:style w:type="character" w:customStyle="1" w:styleId="96">
    <w:name w:val="正文文本缩进 3 字符"/>
    <w:uiPriority w:val="0"/>
    <w:rPr>
      <w:sz w:val="16"/>
      <w:szCs w:val="16"/>
    </w:rPr>
  </w:style>
  <w:style w:type="character" w:customStyle="1" w:styleId="97">
    <w:name w:val="HTML 预设格式 字符"/>
    <w:uiPriority w:val="0"/>
    <w:rPr>
      <w:rFonts w:ascii="Courier New" w:hAnsi="Courier New" w:cs="Courier New"/>
    </w:rPr>
  </w:style>
  <w:style w:type="character" w:customStyle="1" w:styleId="98">
    <w:name w:val="副标题 字符"/>
    <w:uiPriority w:val="0"/>
    <w:rPr>
      <w:rFonts w:ascii="等线 Light" w:hAnsi="等线 Light" w:cs="Times New Roman"/>
      <w:b/>
      <w:bCs/>
      <w:kern w:val="28"/>
      <w:sz w:val="32"/>
      <w:szCs w:val="32"/>
    </w:rPr>
  </w:style>
  <w:style w:type="character" w:customStyle="1" w:styleId="99">
    <w:name w:val="批注文字 字符"/>
    <w:basedOn w:val="53"/>
    <w:uiPriority w:val="0"/>
  </w:style>
  <w:style w:type="character" w:customStyle="1" w:styleId="100">
    <w:name w:val="btna-s12"/>
    <w:uiPriority w:val="0"/>
    <w:rPr>
      <w:rFonts w:ascii="Tahoma" w:hAnsi="Tahoma"/>
      <w:color w:val="000000"/>
      <w:sz w:val="24"/>
      <w:u w:val="none"/>
    </w:rPr>
  </w:style>
  <w:style w:type="character" w:customStyle="1" w:styleId="101">
    <w:name w:val="正文文本缩进 Char"/>
    <w:uiPriority w:val="0"/>
    <w:rPr>
      <w:kern w:val="2"/>
      <w:sz w:val="21"/>
    </w:rPr>
  </w:style>
  <w:style w:type="character" w:customStyle="1" w:styleId="102">
    <w:name w:val="UP正文 Char"/>
    <w:link w:val="103"/>
    <w:uiPriority w:val="0"/>
    <w:rPr>
      <w:rFonts w:ascii="Tahoma"/>
      <w:kern w:val="2"/>
      <w:sz w:val="21"/>
    </w:rPr>
  </w:style>
  <w:style w:type="paragraph" w:customStyle="1" w:styleId="103">
    <w:name w:val="UP正文"/>
    <w:basedOn w:val="1"/>
    <w:link w:val="102"/>
    <w:uiPriority w:val="0"/>
    <w:pPr>
      <w:spacing w:line="360" w:lineRule="auto"/>
      <w:ind w:left="420" w:leftChars="200" w:firstLine="420" w:firstLineChars="200"/>
      <w:jc w:val="both"/>
    </w:pPr>
    <w:rPr>
      <w:rFonts w:ascii="Tahoma"/>
      <w:kern w:val="2"/>
      <w:sz w:val="21"/>
    </w:rPr>
  </w:style>
  <w:style w:type="character" w:customStyle="1" w:styleId="104">
    <w:name w:val="morelink6"/>
    <w:uiPriority w:val="0"/>
    <w:rPr>
      <w:rFonts w:ascii="Tahoma" w:hAnsi="Tahoma"/>
      <w:sz w:val="24"/>
    </w:rPr>
  </w:style>
  <w:style w:type="character" w:customStyle="1" w:styleId="105">
    <w:name w:val="Book Title"/>
    <w:qFormat/>
    <w:uiPriority w:val="0"/>
    <w:rPr>
      <w:caps/>
      <w:color w:val="622423"/>
      <w:spacing w:val="5"/>
    </w:rPr>
  </w:style>
  <w:style w:type="character" w:customStyle="1" w:styleId="106">
    <w:name w:val="btna-s14"/>
    <w:uiPriority w:val="0"/>
    <w:rPr>
      <w:rFonts w:ascii="Tahoma" w:hAnsi="Tahoma"/>
      <w:color w:val="000000"/>
      <w:sz w:val="24"/>
      <w:u w:val="none"/>
    </w:rPr>
  </w:style>
  <w:style w:type="character" w:customStyle="1" w:styleId="107">
    <w:name w:val="Subtle Emphasis"/>
    <w:qFormat/>
    <w:uiPriority w:val="0"/>
    <w:rPr>
      <w:i/>
      <w:iCs/>
    </w:rPr>
  </w:style>
  <w:style w:type="character" w:customStyle="1" w:styleId="108">
    <w:name w:val="引用 Char1"/>
    <w:link w:val="109"/>
    <w:qFormat/>
    <w:uiPriority w:val="29"/>
    <w:rPr>
      <w:i/>
      <w:iCs/>
      <w:color w:val="000000"/>
      <w:kern w:val="2"/>
      <w:sz w:val="21"/>
      <w:szCs w:val="24"/>
    </w:rPr>
  </w:style>
  <w:style w:type="paragraph" w:customStyle="1" w:styleId="109">
    <w:name w:val="Quote"/>
    <w:basedOn w:val="1"/>
    <w:next w:val="1"/>
    <w:link w:val="108"/>
    <w:qFormat/>
    <w:uiPriority w:val="29"/>
    <w:pPr>
      <w:spacing w:after="200" w:line="252" w:lineRule="auto"/>
    </w:pPr>
    <w:rPr>
      <w:i/>
      <w:iCs/>
      <w:color w:val="000000"/>
      <w:kern w:val="2"/>
      <w:sz w:val="21"/>
      <w:szCs w:val="24"/>
    </w:rPr>
  </w:style>
  <w:style w:type="character" w:customStyle="1" w:styleId="110">
    <w:name w:val="la121u"/>
    <w:uiPriority w:val="0"/>
    <w:rPr>
      <w:rFonts w:ascii="Tahoma" w:hAnsi="Tahoma"/>
      <w:sz w:val="24"/>
    </w:rPr>
  </w:style>
  <w:style w:type="character" w:customStyle="1" w:styleId="111">
    <w:name w:val="正文文本缩进 3 Char"/>
    <w:uiPriority w:val="0"/>
    <w:rPr>
      <w:rFonts w:ascii="宋体" w:hAnsi="宋体"/>
      <w:kern w:val="2"/>
      <w:sz w:val="21"/>
      <w:szCs w:val="24"/>
    </w:rPr>
  </w:style>
  <w:style w:type="character" w:customStyle="1" w:styleId="112">
    <w:name w:val="btna-s2"/>
    <w:uiPriority w:val="0"/>
    <w:rPr>
      <w:rFonts w:ascii="Tahoma" w:hAnsi="Tahoma"/>
      <w:color w:val="FFFFFF"/>
      <w:sz w:val="24"/>
      <w:u w:val="none"/>
    </w:rPr>
  </w:style>
  <w:style w:type="character" w:customStyle="1" w:styleId="113">
    <w:name w:val="def3"/>
    <w:uiPriority w:val="0"/>
  </w:style>
  <w:style w:type="character" w:customStyle="1" w:styleId="114">
    <w:name w:val="正文文本缩进 2 Char"/>
    <w:uiPriority w:val="0"/>
    <w:rPr>
      <w:kern w:val="2"/>
      <w:sz w:val="24"/>
      <w:szCs w:val="24"/>
    </w:rPr>
  </w:style>
  <w:style w:type="character" w:customStyle="1" w:styleId="115">
    <w:name w:val="10"/>
    <w:uiPriority w:val="0"/>
    <w:rPr>
      <w:rFonts w:hint="default" w:ascii="Times New Roman" w:hAnsi="Times New Roman" w:cs="Times New Roman"/>
    </w:rPr>
  </w:style>
  <w:style w:type="character" w:customStyle="1" w:styleId="116">
    <w:name w:val="引用 Char"/>
    <w:uiPriority w:val="0"/>
    <w:rPr>
      <w:i/>
      <w:iCs/>
    </w:rPr>
  </w:style>
  <w:style w:type="character" w:customStyle="1" w:styleId="117">
    <w:name w:val="批注主题 Char"/>
    <w:uiPriority w:val="0"/>
    <w:rPr>
      <w:b/>
      <w:bCs/>
      <w:kern w:val="2"/>
      <w:sz w:val="21"/>
      <w:szCs w:val="24"/>
    </w:rPr>
  </w:style>
  <w:style w:type="character" w:customStyle="1" w:styleId="118">
    <w:name w:val="morelink25"/>
    <w:uiPriority w:val="0"/>
    <w:rPr>
      <w:rFonts w:ascii="Tahoma" w:hAnsi="Tahoma"/>
      <w:sz w:val="24"/>
    </w:rPr>
  </w:style>
  <w:style w:type="character" w:customStyle="1" w:styleId="119">
    <w:name w:val="jbox-icon-none"/>
    <w:uiPriority w:val="0"/>
    <w:rPr>
      <w:rFonts w:ascii="Tahoma" w:hAnsi="Tahoma"/>
      <w:vanish/>
      <w:sz w:val="24"/>
    </w:rPr>
  </w:style>
  <w:style w:type="character" w:customStyle="1" w:styleId="120">
    <w:name w:val="current2"/>
    <w:uiPriority w:val="0"/>
    <w:rPr>
      <w:rFonts w:ascii="Tahoma" w:hAnsi="Tahoma"/>
      <w:b/>
      <w:color w:val="000000"/>
      <w:sz w:val="24"/>
      <w:bdr w:val="single" w:color="E89954" w:sz="4" w:space="0"/>
      <w:shd w:val="clear" w:color="auto" w:fill="E89954"/>
    </w:rPr>
  </w:style>
  <w:style w:type="character" w:customStyle="1" w:styleId="121">
    <w:name w:val="日期 Char1"/>
    <w:uiPriority w:val="0"/>
    <w:rPr>
      <w:kern w:val="2"/>
      <w:sz w:val="24"/>
    </w:rPr>
  </w:style>
  <w:style w:type="character" w:customStyle="1" w:styleId="122">
    <w:name w:val="明显参考1"/>
    <w:qFormat/>
    <w:uiPriority w:val="0"/>
    <w:rPr>
      <w:b/>
      <w:bCs/>
      <w:smallCaps/>
      <w:color w:val="C0504D"/>
      <w:spacing w:val="5"/>
      <w:u w:val="single"/>
    </w:rPr>
  </w:style>
  <w:style w:type="character" w:customStyle="1" w:styleId="123">
    <w:name w:val="页码1"/>
    <w:uiPriority w:val="0"/>
  </w:style>
  <w:style w:type="character" w:customStyle="1" w:styleId="124">
    <w:name w:val="morelink7"/>
    <w:uiPriority w:val="0"/>
    <w:rPr>
      <w:rFonts w:ascii="Tahoma" w:hAnsi="Tahoma"/>
      <w:sz w:val="24"/>
    </w:rPr>
  </w:style>
  <w:style w:type="character" w:customStyle="1" w:styleId="125">
    <w:name w:val="btna-s11"/>
    <w:uiPriority w:val="0"/>
    <w:rPr>
      <w:rFonts w:ascii="Tahoma" w:hAnsi="Tahoma"/>
      <w:color w:val="666666"/>
      <w:sz w:val="24"/>
      <w:u w:val="none"/>
    </w:rPr>
  </w:style>
  <w:style w:type="character" w:customStyle="1" w:styleId="126">
    <w:name w:val="结束语 字符"/>
    <w:basedOn w:val="53"/>
    <w:uiPriority w:val="0"/>
  </w:style>
  <w:style w:type="character" w:customStyle="1" w:styleId="127">
    <w:name w:val="morelink8"/>
    <w:uiPriority w:val="0"/>
    <w:rPr>
      <w:rFonts w:ascii="Tahoma" w:hAnsi="Tahoma"/>
      <w:sz w:val="24"/>
    </w:rPr>
  </w:style>
  <w:style w:type="character" w:customStyle="1" w:styleId="128">
    <w:name w:val="jbox-icon"/>
    <w:uiPriority w:val="0"/>
    <w:rPr>
      <w:rFonts w:ascii="Tahoma" w:hAnsi="Tahoma"/>
      <w:sz w:val="24"/>
    </w:rPr>
  </w:style>
  <w:style w:type="character" w:customStyle="1" w:styleId="129">
    <w:name w:val="正文文本缩进 Char Char"/>
    <w:uiPriority w:val="0"/>
    <w:rPr>
      <w:rFonts w:ascii="Times New Roman" w:hAnsi="Times New Roman" w:eastAsia="宋体" w:cs="Times New Roman"/>
      <w:kern w:val="0"/>
      <w:sz w:val="20"/>
      <w:szCs w:val="24"/>
    </w:rPr>
  </w:style>
  <w:style w:type="character" w:customStyle="1" w:styleId="130">
    <w:name w:val="tpc_content1"/>
    <w:uiPriority w:val="0"/>
    <w:rPr>
      <w:rFonts w:cs="Times New Roman"/>
      <w:sz w:val="20"/>
      <w:szCs w:val="20"/>
    </w:rPr>
  </w:style>
  <w:style w:type="character" w:customStyle="1" w:styleId="131">
    <w:name w:val="页脚 Char Char"/>
    <w:uiPriority w:val="0"/>
    <w:rPr>
      <w:rFonts w:ascii="Times New Roman" w:hAnsi="Times New Roman" w:eastAsia="宋体" w:cs="Times New Roman"/>
      <w:kern w:val="0"/>
      <w:sz w:val="18"/>
      <w:szCs w:val="18"/>
    </w:rPr>
  </w:style>
  <w:style w:type="character" w:customStyle="1" w:styleId="132">
    <w:name w:val="btna-s4"/>
    <w:uiPriority w:val="0"/>
    <w:rPr>
      <w:rFonts w:ascii="Tahoma" w:hAnsi="Tahoma"/>
      <w:color w:val="FFFFFF"/>
      <w:sz w:val="24"/>
      <w:u w:val="none"/>
    </w:rPr>
  </w:style>
  <w:style w:type="character" w:customStyle="1" w:styleId="133">
    <w:name w:val="批注文字 Char Char"/>
    <w:uiPriority w:val="0"/>
    <w:rPr>
      <w:rFonts w:ascii="Times New Roman" w:hAnsi="Times New Roman" w:eastAsia="宋体" w:cs="Times New Roman"/>
      <w:kern w:val="0"/>
      <w:sz w:val="20"/>
      <w:szCs w:val="24"/>
    </w:rPr>
  </w:style>
  <w:style w:type="character" w:customStyle="1" w:styleId="134">
    <w:name w:val="Subtle Reference"/>
    <w:qFormat/>
    <w:uiPriority w:val="0"/>
    <w:rPr>
      <w:rFonts w:ascii="Calibri" w:hAnsi="Calibri" w:eastAsia="宋体" w:cs="Times New Roman"/>
      <w:i/>
      <w:iCs/>
      <w:color w:val="622423"/>
    </w:rPr>
  </w:style>
  <w:style w:type="character" w:customStyle="1" w:styleId="135">
    <w:name w:val="extendlink20"/>
    <w:uiPriority w:val="0"/>
    <w:rPr>
      <w:rFonts w:ascii="Tahoma" w:hAnsi="Tahoma"/>
      <w:sz w:val="14"/>
      <w:szCs w:val="14"/>
    </w:rPr>
  </w:style>
  <w:style w:type="character" w:customStyle="1" w:styleId="136">
    <w:name w:val="标题 1 Char Char"/>
    <w:uiPriority w:val="0"/>
    <w:rPr>
      <w:rFonts w:ascii="Times New Roman" w:hAnsi="Times New Roman" w:eastAsia="宋体" w:cs="Times New Roman"/>
      <w:b/>
      <w:bCs/>
      <w:kern w:val="44"/>
      <w:sz w:val="44"/>
      <w:szCs w:val="44"/>
    </w:rPr>
  </w:style>
  <w:style w:type="character" w:customStyle="1" w:styleId="137">
    <w:name w:val="正文文本 3 Char"/>
    <w:uiPriority w:val="0"/>
    <w:rPr>
      <w:kern w:val="2"/>
      <w:sz w:val="16"/>
      <w:szCs w:val="16"/>
    </w:rPr>
  </w:style>
  <w:style w:type="character" w:customStyle="1" w:styleId="138">
    <w:name w:val="font01"/>
    <w:basedOn w:val="53"/>
    <w:uiPriority w:val="0"/>
    <w:rPr>
      <w:rFonts w:hint="eastAsia" w:ascii="宋体" w:hAnsi="宋体" w:eastAsia="宋体"/>
      <w:color w:val="000000"/>
      <w:sz w:val="24"/>
      <w:szCs w:val="24"/>
      <w:u w:val="none"/>
      <w:vertAlign w:val="superscript"/>
    </w:rPr>
  </w:style>
  <w:style w:type="character" w:customStyle="1" w:styleId="139">
    <w:name w:val="15"/>
    <w:uiPriority w:val="0"/>
    <w:rPr>
      <w:rFonts w:hint="default" w:ascii="Times New Roman" w:hAnsi="Times New Roman" w:cs="Times New Roman"/>
      <w:sz w:val="21"/>
      <w:szCs w:val="21"/>
    </w:rPr>
  </w:style>
  <w:style w:type="character" w:customStyle="1" w:styleId="140">
    <w:name w:val="btna-s"/>
    <w:uiPriority w:val="0"/>
    <w:rPr>
      <w:rFonts w:ascii="Tahoma" w:hAnsi="Tahoma"/>
      <w:color w:val="FFFFFF"/>
      <w:sz w:val="24"/>
      <w:u w:val="none"/>
    </w:rPr>
  </w:style>
  <w:style w:type="character" w:customStyle="1" w:styleId="141">
    <w:name w:val="extendlink24"/>
    <w:uiPriority w:val="0"/>
    <w:rPr>
      <w:rFonts w:ascii="Tahoma" w:hAnsi="Tahoma"/>
      <w:sz w:val="14"/>
      <w:szCs w:val="14"/>
    </w:rPr>
  </w:style>
  <w:style w:type="character" w:customStyle="1" w:styleId="142">
    <w:name w:val="jbox-icon-question"/>
    <w:uiPriority w:val="0"/>
    <w:rPr>
      <w:rFonts w:ascii="Tahoma" w:hAnsi="Tahoma"/>
      <w:sz w:val="24"/>
    </w:rPr>
  </w:style>
  <w:style w:type="character" w:customStyle="1" w:styleId="143">
    <w:name w:val="Intense Reference"/>
    <w:qFormat/>
    <w:uiPriority w:val="0"/>
    <w:rPr>
      <w:rFonts w:ascii="Calibri" w:hAnsi="Calibri" w:eastAsia="宋体" w:cs="Times New Roman"/>
      <w:b/>
      <w:bCs/>
      <w:i/>
      <w:iCs/>
      <w:color w:val="622423"/>
    </w:rPr>
  </w:style>
  <w:style w:type="character" w:customStyle="1" w:styleId="144">
    <w:name w:val="批注框文本 Char1"/>
    <w:uiPriority w:val="99"/>
    <w:rPr>
      <w:kern w:val="2"/>
      <w:sz w:val="18"/>
      <w:szCs w:val="18"/>
    </w:rPr>
  </w:style>
  <w:style w:type="character" w:customStyle="1" w:styleId="145">
    <w:name w:val="btna-s13"/>
    <w:uiPriority w:val="0"/>
    <w:rPr>
      <w:rFonts w:ascii="Tahoma" w:hAnsi="Tahoma"/>
      <w:color w:val="FFFFFF"/>
      <w:sz w:val="24"/>
      <w:u w:val="none"/>
    </w:rPr>
  </w:style>
  <w:style w:type="character" w:customStyle="1" w:styleId="146">
    <w:name w:val="标题 4 Char Char"/>
    <w:uiPriority w:val="0"/>
    <w:rPr>
      <w:rFonts w:ascii="Arial" w:hAnsi="Arial" w:eastAsia="黑体" w:cs="Times New Roman"/>
      <w:b/>
      <w:bCs/>
      <w:kern w:val="0"/>
      <w:sz w:val="28"/>
      <w:szCs w:val="28"/>
    </w:rPr>
  </w:style>
  <w:style w:type="character" w:customStyle="1" w:styleId="147">
    <w:name w:val="结束语 Char"/>
    <w:uiPriority w:val="0"/>
    <w:rPr>
      <w:rFonts w:ascii="Arial" w:hAnsi="Arial"/>
      <w:sz w:val="16"/>
      <w:lang w:eastAsia="it-IT"/>
    </w:rPr>
  </w:style>
  <w:style w:type="character" w:customStyle="1" w:styleId="148">
    <w:name w:val="morelink24"/>
    <w:uiPriority w:val="0"/>
    <w:rPr>
      <w:rFonts w:ascii="Tahoma" w:hAnsi="Tahoma"/>
      <w:sz w:val="24"/>
    </w:rPr>
  </w:style>
  <w:style w:type="character" w:customStyle="1" w:styleId="149">
    <w:name w:val="批注文字 Char1"/>
    <w:semiHidden/>
    <w:uiPriority w:val="99"/>
    <w:rPr>
      <w:rFonts w:ascii="Tahoma" w:hAnsi="Tahoma"/>
      <w:kern w:val="2"/>
      <w:sz w:val="21"/>
      <w:szCs w:val="24"/>
    </w:rPr>
  </w:style>
  <w:style w:type="character" w:customStyle="1" w:styleId="150">
    <w:name w:val="extendlink23"/>
    <w:uiPriority w:val="0"/>
    <w:rPr>
      <w:rFonts w:ascii="Tahoma" w:hAnsi="Tahoma"/>
      <w:sz w:val="14"/>
      <w:szCs w:val="14"/>
    </w:rPr>
  </w:style>
  <w:style w:type="character" w:customStyle="1" w:styleId="151">
    <w:name w:val="Text Char Char"/>
    <w:link w:val="152"/>
    <w:uiPriority w:val="0"/>
    <w:rPr>
      <w:sz w:val="24"/>
      <w:lang w:eastAsia="en-US"/>
    </w:rPr>
  </w:style>
  <w:style w:type="paragraph" w:customStyle="1" w:styleId="152">
    <w:name w:val="Text"/>
    <w:basedOn w:val="1"/>
    <w:link w:val="151"/>
    <w:uiPriority w:val="0"/>
    <w:pPr>
      <w:spacing w:before="120"/>
      <w:jc w:val="both"/>
    </w:pPr>
    <w:rPr>
      <w:sz w:val="24"/>
      <w:lang w:eastAsia="en-US"/>
    </w:rPr>
  </w:style>
  <w:style w:type="character" w:customStyle="1" w:styleId="153">
    <w:name w:val="正文文本 Char"/>
    <w:uiPriority w:val="0"/>
    <w:rPr>
      <w:kern w:val="2"/>
      <w:sz w:val="21"/>
      <w:szCs w:val="24"/>
    </w:rPr>
  </w:style>
  <w:style w:type="character" w:customStyle="1" w:styleId="154">
    <w:name w:val="明显引用 Char1"/>
    <w:link w:val="155"/>
    <w:uiPriority w:val="30"/>
    <w:rPr>
      <w:b/>
      <w:bCs/>
      <w:i/>
      <w:iCs/>
      <w:color w:val="4F81BD"/>
      <w:kern w:val="2"/>
      <w:sz w:val="21"/>
      <w:szCs w:val="24"/>
    </w:rPr>
  </w:style>
  <w:style w:type="paragraph" w:customStyle="1" w:styleId="155">
    <w:name w:val="Intense Quote"/>
    <w:basedOn w:val="1"/>
    <w:next w:val="1"/>
    <w:link w:val="154"/>
    <w:qFormat/>
    <w:uiPriority w:val="30"/>
    <w:pPr>
      <w:pBdr>
        <w:top w:val="dotted" w:color="632423" w:sz="2" w:space="10"/>
        <w:bottom w:val="dotted" w:color="632423" w:sz="2" w:space="4"/>
      </w:pBdr>
      <w:spacing w:before="160" w:after="200" w:line="300" w:lineRule="auto"/>
      <w:ind w:left="1440" w:right="1440"/>
    </w:pPr>
    <w:rPr>
      <w:b/>
      <w:bCs/>
      <w:i/>
      <w:iCs/>
      <w:color w:val="4F81BD"/>
      <w:kern w:val="2"/>
      <w:sz w:val="21"/>
      <w:szCs w:val="24"/>
    </w:rPr>
  </w:style>
  <w:style w:type="character" w:customStyle="1" w:styleId="156">
    <w:name w:val="btna-s1"/>
    <w:uiPriority w:val="0"/>
    <w:rPr>
      <w:rFonts w:ascii="Tahoma" w:hAnsi="Tahoma"/>
      <w:color w:val="FFFFFF"/>
      <w:sz w:val="24"/>
      <w:u w:val="none"/>
    </w:rPr>
  </w:style>
  <w:style w:type="character" w:customStyle="1" w:styleId="157">
    <w:name w:val="页脚 字符"/>
    <w:uiPriority w:val="99"/>
    <w:rPr>
      <w:rFonts w:eastAsia="宋体"/>
      <w:kern w:val="2"/>
      <w:sz w:val="18"/>
      <w:lang w:val="en-US" w:eastAsia="zh-CN" w:bidi="ar-SA"/>
    </w:rPr>
  </w:style>
  <w:style w:type="character" w:customStyle="1" w:styleId="158">
    <w:name w:val="btna-s3"/>
    <w:uiPriority w:val="0"/>
    <w:rPr>
      <w:rFonts w:ascii="Tahoma" w:hAnsi="Tahoma"/>
      <w:color w:val="0068B7"/>
      <w:sz w:val="24"/>
      <w:u w:val="none"/>
    </w:rPr>
  </w:style>
  <w:style w:type="character" w:customStyle="1" w:styleId="159">
    <w:name w:val="morelink21"/>
    <w:uiPriority w:val="0"/>
    <w:rPr>
      <w:rFonts w:ascii="Tahoma" w:hAnsi="Tahoma"/>
      <w:sz w:val="24"/>
    </w:rPr>
  </w:style>
  <w:style w:type="character" w:customStyle="1" w:styleId="160">
    <w:name w:val="注脚符"/>
    <w:uiPriority w:val="0"/>
    <w:rPr>
      <w:rFonts w:ascii="Tahoma" w:hAnsi="Tahoma"/>
      <w:b/>
      <w:sz w:val="20"/>
      <w:shd w:val="clear" w:color="auto" w:fill="auto"/>
      <w:vertAlign w:val="superscript"/>
    </w:rPr>
  </w:style>
  <w:style w:type="character" w:customStyle="1" w:styleId="161">
    <w:name w:val="current"/>
    <w:uiPriority w:val="0"/>
    <w:rPr>
      <w:rFonts w:ascii="Tahoma" w:hAnsi="Tahoma"/>
      <w:b/>
      <w:color w:val="000000"/>
      <w:sz w:val="24"/>
      <w:bdr w:val="single" w:color="E89954" w:sz="4" w:space="0"/>
      <w:shd w:val="clear" w:color="auto" w:fill="E89954"/>
    </w:rPr>
  </w:style>
  <w:style w:type="character" w:customStyle="1" w:styleId="162">
    <w:name w:val="btna-s5"/>
    <w:uiPriority w:val="0"/>
    <w:rPr>
      <w:rFonts w:ascii="Tahoma" w:hAnsi="Tahoma"/>
      <w:color w:val="FFFFFF"/>
      <w:sz w:val="24"/>
      <w:u w:val="none"/>
    </w:rPr>
  </w:style>
  <w:style w:type="character" w:customStyle="1" w:styleId="163">
    <w:name w:val="morelink2"/>
    <w:uiPriority w:val="0"/>
    <w:rPr>
      <w:rFonts w:ascii="Tahoma" w:hAnsi="Tahoma"/>
      <w:sz w:val="24"/>
    </w:rPr>
  </w:style>
  <w:style w:type="character" w:customStyle="1" w:styleId="164">
    <w:name w:val="页脚 Char2"/>
    <w:uiPriority w:val="0"/>
    <w:rPr>
      <w:rFonts w:eastAsia="宋体"/>
      <w:sz w:val="18"/>
      <w:szCs w:val="18"/>
      <w:lang w:val="en-US" w:eastAsia="zh-CN" w:bidi="ar-SA"/>
    </w:rPr>
  </w:style>
  <w:style w:type="character" w:customStyle="1" w:styleId="165">
    <w:name w:val="style41"/>
    <w:uiPriority w:val="0"/>
    <w:rPr>
      <w:color w:val="047EBF"/>
    </w:rPr>
  </w:style>
  <w:style w:type="character" w:customStyle="1" w:styleId="166">
    <w:name w:val="disabled2"/>
    <w:uiPriority w:val="0"/>
    <w:rPr>
      <w:rFonts w:ascii="Tahoma" w:hAnsi="Tahoma"/>
      <w:color w:val="CCCCCC"/>
      <w:sz w:val="24"/>
      <w:bdr w:val="single" w:color="CCCCCC" w:sz="4" w:space="0"/>
    </w:rPr>
  </w:style>
  <w:style w:type="character" w:customStyle="1" w:styleId="167">
    <w:name w:val="font31"/>
    <w:qFormat/>
    <w:uiPriority w:val="0"/>
    <w:rPr>
      <w:rFonts w:hint="default" w:ascii="Times New Roman" w:hAnsi="Times New Roman" w:cs="Times New Roman"/>
      <w:color w:val="000000"/>
      <w:sz w:val="18"/>
      <w:szCs w:val="18"/>
      <w:u w:val="none"/>
    </w:rPr>
  </w:style>
  <w:style w:type="character" w:customStyle="1" w:styleId="168">
    <w:name w:val="页眉 字符"/>
    <w:uiPriority w:val="99"/>
  </w:style>
  <w:style w:type="character" w:customStyle="1" w:styleId="169">
    <w:name w:val="16"/>
    <w:uiPriority w:val="0"/>
    <w:rPr>
      <w:rFonts w:hint="default" w:ascii="Times New Roman" w:hAnsi="Times New Roman" w:cs="Times New Roman"/>
      <w:sz w:val="20"/>
      <w:szCs w:val="20"/>
    </w:rPr>
  </w:style>
  <w:style w:type="character" w:customStyle="1" w:styleId="170">
    <w:name w:val="morelink3"/>
    <w:uiPriority w:val="0"/>
    <w:rPr>
      <w:rFonts w:ascii="Tahoma" w:hAnsi="Tahoma"/>
      <w:sz w:val="24"/>
    </w:rPr>
  </w:style>
  <w:style w:type="character" w:customStyle="1" w:styleId="171">
    <w:name w:val="正文文本 3 字符"/>
    <w:uiPriority w:val="0"/>
    <w:rPr>
      <w:sz w:val="16"/>
      <w:szCs w:val="16"/>
    </w:rPr>
  </w:style>
  <w:style w:type="character" w:customStyle="1" w:styleId="172">
    <w:name w:val="jbox-icon-success"/>
    <w:uiPriority w:val="0"/>
    <w:rPr>
      <w:rFonts w:ascii="Tahoma" w:hAnsi="Tahoma"/>
      <w:sz w:val="24"/>
    </w:rPr>
  </w:style>
  <w:style w:type="character" w:customStyle="1" w:styleId="173">
    <w:name w:val="morelink26"/>
    <w:uiPriority w:val="0"/>
    <w:rPr>
      <w:rFonts w:ascii="Tahoma" w:hAnsi="Tahoma"/>
      <w:sz w:val="24"/>
    </w:rPr>
  </w:style>
  <w:style w:type="character" w:customStyle="1" w:styleId="174">
    <w:name w:val="批注文字 Char"/>
    <w:uiPriority w:val="0"/>
    <w:rPr>
      <w:kern w:val="2"/>
      <w:sz w:val="21"/>
      <w:szCs w:val="24"/>
    </w:rPr>
  </w:style>
  <w:style w:type="character" w:customStyle="1" w:styleId="175">
    <w:name w:val="批注主题 Char Char"/>
    <w:uiPriority w:val="0"/>
    <w:rPr>
      <w:rFonts w:ascii="Times New Roman" w:hAnsi="Times New Roman" w:eastAsia="宋体" w:cs="Times New Roman"/>
      <w:b/>
      <w:bCs/>
      <w:kern w:val="0"/>
      <w:sz w:val="20"/>
      <w:szCs w:val="24"/>
    </w:rPr>
  </w:style>
  <w:style w:type="character" w:customStyle="1" w:styleId="176">
    <w:name w:val="正文文本 2 Char"/>
    <w:uiPriority w:val="0"/>
    <w:rPr>
      <w:kern w:val="2"/>
      <w:sz w:val="21"/>
      <w:szCs w:val="24"/>
    </w:rPr>
  </w:style>
  <w:style w:type="character" w:customStyle="1" w:styleId="177">
    <w:name w:val="批注框文本 Char Char"/>
    <w:uiPriority w:val="0"/>
    <w:rPr>
      <w:rFonts w:ascii="Times New Roman" w:hAnsi="Times New Roman" w:eastAsia="宋体" w:cs="Times New Roman"/>
      <w:kern w:val="0"/>
      <w:sz w:val="18"/>
      <w:szCs w:val="18"/>
    </w:rPr>
  </w:style>
  <w:style w:type="character" w:customStyle="1" w:styleId="178">
    <w:name w:val="jbox-icon-info"/>
    <w:uiPriority w:val="0"/>
    <w:rPr>
      <w:rFonts w:ascii="Tahoma" w:hAnsi="Tahoma"/>
      <w:sz w:val="24"/>
    </w:rPr>
  </w:style>
  <w:style w:type="character" w:customStyle="1" w:styleId="179">
    <w:name w:val="btna-s6"/>
    <w:uiPriority w:val="0"/>
    <w:rPr>
      <w:rFonts w:ascii="Tahoma" w:hAnsi="Tahoma"/>
      <w:color w:val="FFFFFF"/>
      <w:sz w:val="24"/>
      <w:u w:val="none"/>
    </w:rPr>
  </w:style>
  <w:style w:type="character" w:customStyle="1" w:styleId="180">
    <w:name w:val="正文文本 Char Char"/>
    <w:uiPriority w:val="0"/>
    <w:rPr>
      <w:rFonts w:ascii="Times New Roman" w:hAnsi="Times New Roman" w:eastAsia="宋体" w:cs="Times New Roman"/>
      <w:kern w:val="0"/>
      <w:sz w:val="30"/>
      <w:szCs w:val="20"/>
    </w:rPr>
  </w:style>
  <w:style w:type="character" w:customStyle="1" w:styleId="181">
    <w:name w:val="morelink9"/>
    <w:uiPriority w:val="0"/>
    <w:rPr>
      <w:rFonts w:ascii="Tahoma" w:hAnsi="Tahoma"/>
      <w:sz w:val="24"/>
    </w:rPr>
  </w:style>
  <w:style w:type="character" w:customStyle="1" w:styleId="182">
    <w:name w:val="页脚 Char1"/>
    <w:uiPriority w:val="99"/>
    <w:rPr>
      <w:rFonts w:eastAsia="宋体"/>
      <w:kern w:val="2"/>
      <w:sz w:val="18"/>
      <w:szCs w:val="18"/>
      <w:lang w:val="en-US" w:eastAsia="zh-CN" w:bidi="ar-SA"/>
    </w:rPr>
  </w:style>
  <w:style w:type="character" w:customStyle="1" w:styleId="183">
    <w:name w:val="morelink20"/>
    <w:uiPriority w:val="0"/>
    <w:rPr>
      <w:rFonts w:ascii="Tahoma" w:hAnsi="Tahoma"/>
      <w:sz w:val="24"/>
    </w:rPr>
  </w:style>
  <w:style w:type="character" w:customStyle="1" w:styleId="184">
    <w:name w:val="标题 9 字符"/>
    <w:semiHidden/>
    <w:uiPriority w:val="0"/>
    <w:rPr>
      <w:rFonts w:ascii="等线 Light" w:hAnsi="等线 Light" w:eastAsia="等线 Light" w:cs="Times New Roman"/>
      <w:sz w:val="21"/>
      <w:szCs w:val="21"/>
    </w:rPr>
  </w:style>
  <w:style w:type="character" w:customStyle="1" w:styleId="185">
    <w:name w:val="morelink1"/>
    <w:uiPriority w:val="0"/>
    <w:rPr>
      <w:rFonts w:ascii="Tahoma" w:hAnsi="Tahoma"/>
      <w:sz w:val="24"/>
    </w:rPr>
  </w:style>
  <w:style w:type="character" w:customStyle="1" w:styleId="186">
    <w:name w:val="jbox-icon-error"/>
    <w:uiPriority w:val="0"/>
    <w:rPr>
      <w:rFonts w:ascii="Tahoma" w:hAnsi="Tahoma"/>
      <w:sz w:val="24"/>
    </w:rPr>
  </w:style>
  <w:style w:type="character" w:customStyle="1" w:styleId="187">
    <w:name w:val="标题 7 字符"/>
    <w:semiHidden/>
    <w:uiPriority w:val="0"/>
    <w:rPr>
      <w:b/>
      <w:bCs/>
      <w:sz w:val="24"/>
      <w:szCs w:val="24"/>
    </w:rPr>
  </w:style>
  <w:style w:type="character" w:customStyle="1" w:styleId="188">
    <w:name w:val="标题 6 字符"/>
    <w:semiHidden/>
    <w:uiPriority w:val="0"/>
    <w:rPr>
      <w:rFonts w:ascii="等线 Light" w:hAnsi="等线 Light" w:eastAsia="等线 Light" w:cs="Times New Roman"/>
      <w:b/>
      <w:bCs/>
      <w:sz w:val="24"/>
      <w:szCs w:val="24"/>
    </w:rPr>
  </w:style>
  <w:style w:type="character" w:customStyle="1" w:styleId="189">
    <w:name w:val="extendlink26"/>
    <w:uiPriority w:val="0"/>
    <w:rPr>
      <w:rFonts w:ascii="Tahoma" w:hAnsi="Tahoma"/>
      <w:sz w:val="14"/>
      <w:szCs w:val="14"/>
    </w:rPr>
  </w:style>
  <w:style w:type="character" w:customStyle="1" w:styleId="190">
    <w:name w:val="标题 3 字符"/>
    <w:semiHidden/>
    <w:uiPriority w:val="0"/>
    <w:rPr>
      <w:b/>
      <w:bCs/>
      <w:sz w:val="32"/>
      <w:szCs w:val="32"/>
    </w:rPr>
  </w:style>
  <w:style w:type="character" w:customStyle="1" w:styleId="191">
    <w:name w:val="标题 1 字符"/>
    <w:uiPriority w:val="0"/>
    <w:rPr>
      <w:b/>
      <w:bCs/>
      <w:kern w:val="44"/>
      <w:sz w:val="44"/>
      <w:szCs w:val="44"/>
    </w:rPr>
  </w:style>
  <w:style w:type="character" w:customStyle="1" w:styleId="192">
    <w:name w:val="btna-s10"/>
    <w:uiPriority w:val="0"/>
    <w:rPr>
      <w:rFonts w:ascii="Tahoma" w:hAnsi="Tahoma"/>
      <w:sz w:val="24"/>
      <w:u w:val="none"/>
    </w:rPr>
  </w:style>
  <w:style w:type="character" w:customStyle="1" w:styleId="193">
    <w:name w:val="标题 5 字符"/>
    <w:semiHidden/>
    <w:uiPriority w:val="0"/>
    <w:rPr>
      <w:b/>
      <w:bCs/>
      <w:sz w:val="28"/>
      <w:szCs w:val="28"/>
    </w:rPr>
  </w:style>
  <w:style w:type="character" w:customStyle="1" w:styleId="194">
    <w:name w:val="btna-s7"/>
    <w:uiPriority w:val="0"/>
    <w:rPr>
      <w:rFonts w:ascii="Tahoma" w:hAnsi="Tahoma"/>
      <w:color w:val="FFFFFF"/>
      <w:sz w:val="24"/>
      <w:u w:val="none"/>
    </w:rPr>
  </w:style>
  <w:style w:type="character" w:customStyle="1" w:styleId="195">
    <w:name w:val="无间隔 Char"/>
    <w:link w:val="196"/>
    <w:uiPriority w:val="0"/>
    <w:rPr>
      <w:rFonts w:ascii="Cambria" w:hAnsi="Cambria"/>
      <w:sz w:val="22"/>
      <w:szCs w:val="22"/>
    </w:rPr>
  </w:style>
  <w:style w:type="paragraph" w:customStyle="1" w:styleId="196">
    <w:name w:val="No Spacing"/>
    <w:basedOn w:val="1"/>
    <w:link w:val="195"/>
    <w:qFormat/>
    <w:uiPriority w:val="0"/>
    <w:rPr>
      <w:rFonts w:ascii="Cambria" w:hAnsi="Cambria"/>
      <w:sz w:val="22"/>
      <w:szCs w:val="22"/>
    </w:rPr>
  </w:style>
  <w:style w:type="character" w:customStyle="1" w:styleId="197">
    <w:name w:val="jbox-icon-loading"/>
    <w:uiPriority w:val="0"/>
    <w:rPr>
      <w:rFonts w:ascii="Tahoma" w:hAnsi="Tahoma"/>
      <w:sz w:val="24"/>
    </w:rPr>
  </w:style>
  <w:style w:type="character" w:customStyle="1" w:styleId="198">
    <w:name w:val="批注主题 字符"/>
    <w:uiPriority w:val="0"/>
    <w:rPr>
      <w:b/>
      <w:bCs/>
    </w:rPr>
  </w:style>
  <w:style w:type="character" w:customStyle="1" w:styleId="199">
    <w:name w:val="jbox-icon-warning"/>
    <w:uiPriority w:val="0"/>
    <w:rPr>
      <w:rFonts w:ascii="Tahoma" w:hAnsi="Tahoma"/>
      <w:sz w:val="24"/>
    </w:rPr>
  </w:style>
  <w:style w:type="character" w:customStyle="1" w:styleId="200">
    <w:name w:val="extendlink22"/>
    <w:uiPriority w:val="0"/>
    <w:rPr>
      <w:rFonts w:ascii="Tahoma" w:hAnsi="Tahoma"/>
      <w:sz w:val="14"/>
      <w:szCs w:val="14"/>
    </w:rPr>
  </w:style>
  <w:style w:type="character" w:customStyle="1" w:styleId="201">
    <w:name w:val="nolink"/>
    <w:uiPriority w:val="0"/>
    <w:rPr>
      <w:color w:val="999999"/>
      <w:bdr w:val="single" w:color="AAAADD" w:sz="4" w:space="0"/>
    </w:rPr>
  </w:style>
  <w:style w:type="character" w:customStyle="1" w:styleId="202">
    <w:name w:val="页脚 Char3"/>
    <w:uiPriority w:val="0"/>
    <w:rPr>
      <w:rFonts w:eastAsia="宋体"/>
      <w:sz w:val="18"/>
      <w:szCs w:val="18"/>
      <w:lang w:val="en-US" w:eastAsia="zh-CN" w:bidi="ar-SA"/>
    </w:rPr>
  </w:style>
  <w:style w:type="character" w:customStyle="1" w:styleId="203">
    <w:name w:val="标题 Char"/>
    <w:uiPriority w:val="0"/>
    <w:rPr>
      <w:rFonts w:ascii="Cambria" w:hAnsi="Cambria"/>
      <w:b/>
      <w:bCs/>
      <w:kern w:val="2"/>
      <w:sz w:val="32"/>
      <w:szCs w:val="32"/>
    </w:rPr>
  </w:style>
  <w:style w:type="character" w:customStyle="1" w:styleId="204">
    <w:name w:val="x.x Char Char"/>
    <w:uiPriority w:val="0"/>
    <w:rPr>
      <w:rFonts w:ascii="Arial" w:hAnsi="Arial" w:eastAsia="黑体"/>
      <w:b/>
      <w:bCs/>
      <w:kern w:val="2"/>
      <w:sz w:val="32"/>
      <w:szCs w:val="32"/>
    </w:rPr>
  </w:style>
  <w:style w:type="character" w:customStyle="1" w:styleId="205">
    <w:name w:val="尾注文本 字符"/>
    <w:basedOn w:val="53"/>
    <w:uiPriority w:val="0"/>
  </w:style>
  <w:style w:type="character" w:customStyle="1" w:styleId="206">
    <w:name w:val="morelink27"/>
    <w:uiPriority w:val="0"/>
    <w:rPr>
      <w:rFonts w:ascii="Tahoma" w:hAnsi="Tahoma"/>
      <w:sz w:val="24"/>
    </w:rPr>
  </w:style>
  <w:style w:type="character" w:customStyle="1" w:styleId="207">
    <w:name w:val="extendlink28"/>
    <w:uiPriority w:val="0"/>
    <w:rPr>
      <w:rFonts w:ascii="Tahoma" w:hAnsi="Tahoma"/>
      <w:sz w:val="14"/>
      <w:szCs w:val="14"/>
    </w:rPr>
  </w:style>
  <w:style w:type="character" w:customStyle="1" w:styleId="208">
    <w:name w:val="尾注文本 Char Char"/>
    <w:uiPriority w:val="0"/>
    <w:rPr>
      <w:rFonts w:eastAsia="宋体"/>
      <w:kern w:val="2"/>
      <w:sz w:val="21"/>
      <w:szCs w:val="24"/>
      <w:lang w:val="en-US" w:eastAsia="zh-CN" w:bidi="ar-SA"/>
    </w:rPr>
  </w:style>
  <w:style w:type="character" w:customStyle="1" w:styleId="209">
    <w:name w:val="btna-s8"/>
    <w:uiPriority w:val="0"/>
    <w:rPr>
      <w:rFonts w:ascii="Tahoma" w:hAnsi="Tahoma"/>
      <w:color w:val="FFFFFF"/>
      <w:sz w:val="24"/>
      <w:u w:val="none"/>
    </w:rPr>
  </w:style>
  <w:style w:type="character" w:customStyle="1" w:styleId="210">
    <w:name w:val="脚注文本 Char1"/>
    <w:uiPriority w:val="0"/>
    <w:rPr>
      <w:rFonts w:ascii="Tahoma" w:hAnsi="Tahoma"/>
      <w:sz w:val="18"/>
      <w:lang w:eastAsia="it-IT"/>
    </w:rPr>
  </w:style>
  <w:style w:type="character" w:customStyle="1" w:styleId="211">
    <w:name w:val="font10b"/>
    <w:uiPriority w:val="0"/>
  </w:style>
  <w:style w:type="character" w:customStyle="1" w:styleId="212">
    <w:name w:val="正文文本缩进 2 字符"/>
    <w:basedOn w:val="53"/>
    <w:uiPriority w:val="0"/>
  </w:style>
  <w:style w:type="character" w:customStyle="1" w:styleId="213">
    <w:name w:val="页眉 Char1"/>
    <w:uiPriority w:val="0"/>
    <w:rPr>
      <w:kern w:val="2"/>
      <w:sz w:val="18"/>
    </w:rPr>
  </w:style>
  <w:style w:type="character" w:customStyle="1" w:styleId="214">
    <w:name w:val="标题 1 Char1"/>
    <w:uiPriority w:val="0"/>
    <w:rPr>
      <w:b/>
      <w:bCs/>
      <w:kern w:val="44"/>
      <w:sz w:val="44"/>
      <w:szCs w:val="44"/>
    </w:rPr>
  </w:style>
  <w:style w:type="character" w:customStyle="1" w:styleId="215">
    <w:name w:val="标题 2 Char Char"/>
    <w:uiPriority w:val="0"/>
    <w:rPr>
      <w:rFonts w:ascii="Arial" w:hAnsi="Arial" w:eastAsia="黑体" w:cs="Times New Roman"/>
      <w:b/>
      <w:bCs/>
      <w:kern w:val="0"/>
      <w:sz w:val="32"/>
      <w:szCs w:val="32"/>
    </w:rPr>
  </w:style>
  <w:style w:type="character" w:customStyle="1" w:styleId="216">
    <w:name w:val="纯文本 Char"/>
    <w:uiPriority w:val="0"/>
    <w:rPr>
      <w:rFonts w:ascii="宋体" w:hAnsi="Courier New"/>
      <w:kern w:val="2"/>
      <w:sz w:val="24"/>
    </w:rPr>
  </w:style>
  <w:style w:type="character" w:customStyle="1" w:styleId="217">
    <w:name w:val="正文文本 2 字符"/>
    <w:basedOn w:val="53"/>
    <w:uiPriority w:val="0"/>
  </w:style>
  <w:style w:type="character" w:customStyle="1" w:styleId="218">
    <w:name w:val="HTML 预设格式 Char"/>
    <w:uiPriority w:val="0"/>
    <w:rPr>
      <w:rFonts w:ascii="微软雅黑" w:hAnsi="微软雅黑" w:eastAsia="微软雅黑"/>
      <w:sz w:val="24"/>
      <w:szCs w:val="24"/>
    </w:rPr>
  </w:style>
  <w:style w:type="character" w:customStyle="1" w:styleId="219">
    <w:name w:val="extendlink21"/>
    <w:uiPriority w:val="0"/>
    <w:rPr>
      <w:rFonts w:ascii="Tahoma" w:hAnsi="Tahoma"/>
      <w:sz w:val="14"/>
      <w:szCs w:val="14"/>
    </w:rPr>
  </w:style>
  <w:style w:type="character" w:customStyle="1" w:styleId="220">
    <w:name w:val="morelink22"/>
    <w:uiPriority w:val="0"/>
    <w:rPr>
      <w:rFonts w:ascii="Tahoma" w:hAnsi="Tahoma"/>
      <w:sz w:val="24"/>
    </w:rPr>
  </w:style>
  <w:style w:type="character" w:customStyle="1" w:styleId="221">
    <w:name w:val="纯文本 Char Char"/>
    <w:uiPriority w:val="0"/>
    <w:rPr>
      <w:rFonts w:ascii="宋体" w:hAnsi="Courier New" w:eastAsia="宋体" w:cs="Times New Roman"/>
      <w:kern w:val="0"/>
      <w:sz w:val="20"/>
      <w:szCs w:val="20"/>
    </w:rPr>
  </w:style>
  <w:style w:type="character" w:customStyle="1" w:styleId="222">
    <w:name w:val="morelink"/>
    <w:uiPriority w:val="0"/>
    <w:rPr>
      <w:rFonts w:ascii="Tahoma" w:hAnsi="Tahoma"/>
      <w:sz w:val="24"/>
    </w:rPr>
  </w:style>
  <w:style w:type="character" w:customStyle="1" w:styleId="223">
    <w:name w:val="morelink5"/>
    <w:uiPriority w:val="0"/>
    <w:rPr>
      <w:rFonts w:ascii="Tahoma" w:hAnsi="Tahoma"/>
      <w:sz w:val="24"/>
    </w:rPr>
  </w:style>
  <w:style w:type="character" w:customStyle="1" w:styleId="224">
    <w:name w:val="extendlink29"/>
    <w:uiPriority w:val="0"/>
    <w:rPr>
      <w:rFonts w:ascii="Tahoma" w:hAnsi="Tahoma"/>
      <w:sz w:val="14"/>
      <w:szCs w:val="14"/>
    </w:rPr>
  </w:style>
  <w:style w:type="character" w:customStyle="1" w:styleId="225">
    <w:name w:val="btna-s9"/>
    <w:uiPriority w:val="0"/>
    <w:rPr>
      <w:rFonts w:ascii="Tahoma" w:hAnsi="Tahoma"/>
      <w:color w:val="FFFFFF"/>
      <w:sz w:val="24"/>
      <w:u w:val="none"/>
    </w:rPr>
  </w:style>
  <w:style w:type="character" w:customStyle="1" w:styleId="226">
    <w:name w:val="extendlink25"/>
    <w:uiPriority w:val="0"/>
    <w:rPr>
      <w:rFonts w:ascii="Tahoma" w:hAnsi="Tahoma"/>
      <w:sz w:val="14"/>
      <w:szCs w:val="14"/>
    </w:rPr>
  </w:style>
  <w:style w:type="character" w:customStyle="1" w:styleId="227">
    <w:name w:val="批注引用1"/>
    <w:uiPriority w:val="0"/>
    <w:rPr>
      <w:sz w:val="21"/>
      <w:szCs w:val="21"/>
    </w:rPr>
  </w:style>
  <w:style w:type="character" w:customStyle="1" w:styleId="228">
    <w:name w:val="extendlink27"/>
    <w:uiPriority w:val="0"/>
    <w:rPr>
      <w:rFonts w:ascii="Tahoma" w:hAnsi="Tahoma"/>
      <w:sz w:val="14"/>
      <w:szCs w:val="14"/>
    </w:rPr>
  </w:style>
  <w:style w:type="character" w:customStyle="1" w:styleId="229">
    <w:name w:val="morelink23"/>
    <w:uiPriority w:val="0"/>
    <w:rPr>
      <w:rFonts w:ascii="Tahoma" w:hAnsi="Tahoma"/>
      <w:sz w:val="24"/>
    </w:rPr>
  </w:style>
  <w:style w:type="character" w:customStyle="1" w:styleId="230">
    <w:name w:val="selected"/>
    <w:uiPriority w:val="0"/>
    <w:rPr>
      <w:rFonts w:ascii="Tahoma" w:hAnsi="Tahoma"/>
      <w:color w:val="FFFFFF"/>
      <w:sz w:val="24"/>
      <w:shd w:val="clear" w:color="auto" w:fill="B2000D"/>
    </w:rPr>
  </w:style>
  <w:style w:type="character" w:customStyle="1" w:styleId="231">
    <w:name w:val="标题 字符"/>
    <w:uiPriority w:val="0"/>
    <w:rPr>
      <w:rFonts w:ascii="等线 Light" w:hAnsi="等线 Light" w:cs="Times New Roman"/>
      <w:b/>
      <w:bCs/>
      <w:sz w:val="32"/>
      <w:szCs w:val="32"/>
    </w:rPr>
  </w:style>
  <w:style w:type="character" w:customStyle="1" w:styleId="232">
    <w:name w:val="标题 3 Char Char"/>
    <w:uiPriority w:val="0"/>
    <w:rPr>
      <w:rFonts w:ascii="Times New Roman" w:hAnsi="Times New Roman" w:eastAsia="宋体" w:cs="Times New Roman"/>
      <w:b/>
      <w:bCs/>
      <w:kern w:val="0"/>
      <w:sz w:val="32"/>
      <w:szCs w:val="32"/>
    </w:rPr>
  </w:style>
  <w:style w:type="character" w:customStyle="1" w:styleId="233">
    <w:name w:val="morelink4"/>
    <w:uiPriority w:val="0"/>
    <w:rPr>
      <w:rFonts w:ascii="Tahoma" w:hAnsi="Tahoma"/>
      <w:sz w:val="24"/>
    </w:rPr>
  </w:style>
  <w:style w:type="character" w:customStyle="1" w:styleId="234">
    <w:name w:val="页眉 Char Char"/>
    <w:uiPriority w:val="0"/>
    <w:rPr>
      <w:rFonts w:ascii="Times New Roman" w:hAnsi="Times New Roman" w:eastAsia="宋体" w:cs="Times New Roman"/>
      <w:kern w:val="0"/>
      <w:sz w:val="18"/>
      <w:szCs w:val="18"/>
    </w:rPr>
  </w:style>
  <w:style w:type="character" w:customStyle="1" w:styleId="235">
    <w:name w:val="脚注文本 Char"/>
    <w:uiPriority w:val="0"/>
    <w:rPr>
      <w:kern w:val="2"/>
      <w:sz w:val="18"/>
      <w:szCs w:val="18"/>
    </w:rPr>
  </w:style>
  <w:style w:type="character" w:customStyle="1" w:styleId="236">
    <w:name w:val="List Paragraph Char"/>
    <w:link w:val="237"/>
    <w:uiPriority w:val="0"/>
    <w:rPr>
      <w:rFonts w:ascii="Calibri" w:hAnsi="Calibri"/>
      <w:kern w:val="2"/>
      <w:sz w:val="21"/>
      <w:szCs w:val="22"/>
    </w:rPr>
  </w:style>
  <w:style w:type="paragraph" w:customStyle="1" w:styleId="237">
    <w:name w:val="列出段落1"/>
    <w:basedOn w:val="1"/>
    <w:link w:val="236"/>
    <w:uiPriority w:val="0"/>
    <w:pPr>
      <w:widowControl w:val="0"/>
      <w:ind w:firstLine="420" w:firstLineChars="200"/>
      <w:jc w:val="both"/>
    </w:pPr>
    <w:rPr>
      <w:rFonts w:ascii="Calibri" w:hAnsi="Calibri"/>
      <w:kern w:val="2"/>
      <w:sz w:val="21"/>
      <w:szCs w:val="22"/>
    </w:rPr>
  </w:style>
  <w:style w:type="character" w:customStyle="1" w:styleId="238">
    <w:name w:val="标题 8 字符"/>
    <w:semiHidden/>
    <w:uiPriority w:val="0"/>
    <w:rPr>
      <w:rFonts w:ascii="等线 Light" w:hAnsi="等线 Light" w:eastAsia="等线 Light" w:cs="Times New Roman"/>
      <w:sz w:val="24"/>
      <w:szCs w:val="24"/>
    </w:rPr>
  </w:style>
  <w:style w:type="character" w:customStyle="1" w:styleId="239">
    <w:name w:val="morelink29"/>
    <w:uiPriority w:val="0"/>
    <w:rPr>
      <w:rFonts w:ascii="Tahoma" w:hAnsi="Tahoma"/>
      <w:sz w:val="24"/>
    </w:rPr>
  </w:style>
  <w:style w:type="character" w:customStyle="1" w:styleId="240">
    <w:name w:val="sh141"/>
    <w:uiPriority w:val="0"/>
    <w:rPr>
      <w:color w:val="2B2B2B"/>
      <w:sz w:val="20"/>
      <w:szCs w:val="20"/>
    </w:rPr>
  </w:style>
  <w:style w:type="character" w:customStyle="1" w:styleId="241">
    <w:name w:val="标题 3 Char"/>
    <w:uiPriority w:val="0"/>
    <w:rPr>
      <w:b/>
      <w:bCs/>
      <w:kern w:val="2"/>
      <w:sz w:val="32"/>
      <w:szCs w:val="32"/>
    </w:rPr>
  </w:style>
  <w:style w:type="character" w:customStyle="1" w:styleId="242">
    <w:name w:val="标题 2 Char1"/>
    <w:uiPriority w:val="0"/>
    <w:rPr>
      <w:rFonts w:ascii="Arial" w:hAnsi="Arial" w:eastAsia="黑体"/>
      <w:b/>
      <w:bCs/>
      <w:kern w:val="2"/>
      <w:sz w:val="32"/>
      <w:szCs w:val="32"/>
    </w:rPr>
  </w:style>
  <w:style w:type="character" w:customStyle="1" w:styleId="243">
    <w:name w:val="明显引用 Char"/>
    <w:uiPriority w:val="0"/>
    <w:rPr>
      <w:caps/>
      <w:color w:val="622423"/>
      <w:spacing w:val="5"/>
    </w:rPr>
  </w:style>
  <w:style w:type="character" w:customStyle="1" w:styleId="244">
    <w:name w:val="链接"/>
    <w:uiPriority w:val="0"/>
    <w:rPr>
      <w:rFonts w:ascii="Times New Roman" w:eastAsia="宋体"/>
      <w:color w:val="0000FF"/>
      <w:sz w:val="21"/>
      <w:u w:val="single" w:color="0000FF"/>
      <w:vertAlign w:val="baseline"/>
      <w:lang w:val="en-US" w:eastAsia="zh-CN"/>
    </w:rPr>
  </w:style>
  <w:style w:type="character" w:customStyle="1" w:styleId="245">
    <w:name w:val="apple-style-span"/>
    <w:uiPriority w:val="0"/>
  </w:style>
  <w:style w:type="character" w:customStyle="1" w:styleId="246">
    <w:name w:val="文档结构图 Char Char"/>
    <w:uiPriority w:val="0"/>
    <w:rPr>
      <w:rFonts w:ascii="Times New Roman" w:hAnsi="Times New Roman" w:eastAsia="宋体" w:cs="Times New Roman"/>
      <w:kern w:val="0"/>
      <w:sz w:val="20"/>
      <w:szCs w:val="24"/>
      <w:shd w:val="clear" w:color="auto" w:fill="000080"/>
    </w:rPr>
  </w:style>
  <w:style w:type="character" w:customStyle="1" w:styleId="247">
    <w:name w:val="尾注文本 Char"/>
    <w:uiPriority w:val="0"/>
    <w:rPr>
      <w:kern w:val="2"/>
      <w:sz w:val="21"/>
      <w:szCs w:val="24"/>
    </w:rPr>
  </w:style>
  <w:style w:type="character" w:customStyle="1" w:styleId="248">
    <w:name w:val="morelink28"/>
    <w:uiPriority w:val="0"/>
    <w:rPr>
      <w:rFonts w:ascii="Tahoma" w:hAnsi="Tahoma"/>
      <w:sz w:val="24"/>
    </w:rPr>
  </w:style>
  <w:style w:type="character" w:customStyle="1" w:styleId="249">
    <w:name w:val="disabled3"/>
    <w:uiPriority w:val="0"/>
    <w:rPr>
      <w:rFonts w:ascii="Tahoma" w:hAnsi="Tahoma"/>
      <w:color w:val="DDDDDD"/>
      <w:sz w:val="24"/>
      <w:bdr w:val="single" w:color="EEEEEE" w:sz="4" w:space="0"/>
    </w:rPr>
  </w:style>
  <w:style w:type="character" w:customStyle="1" w:styleId="250">
    <w:name w:val="Intense Emphasis"/>
    <w:qFormat/>
    <w:uiPriority w:val="0"/>
    <w:rPr>
      <w:i/>
      <w:iCs/>
      <w:caps/>
      <w:spacing w:val="10"/>
      <w:sz w:val="20"/>
      <w:szCs w:val="20"/>
    </w:rPr>
  </w:style>
  <w:style w:type="character" w:customStyle="1" w:styleId="251">
    <w:name w:val="文档结构图 字符"/>
    <w:uiPriority w:val="0"/>
    <w:rPr>
      <w:rFonts w:ascii="Microsoft YaHei UI" w:eastAsia="Microsoft YaHei UI"/>
      <w:sz w:val="18"/>
      <w:szCs w:val="18"/>
    </w:rPr>
  </w:style>
  <w:style w:type="character" w:customStyle="1" w:styleId="252">
    <w:name w:val="word"/>
    <w:uiPriority w:val="0"/>
  </w:style>
  <w:style w:type="paragraph" w:customStyle="1" w:styleId="253">
    <w:name w:val="xl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18"/>
      <w:szCs w:val="18"/>
    </w:rPr>
  </w:style>
  <w:style w:type="paragraph" w:customStyle="1" w:styleId="254">
    <w:name w:val="_Style 1"/>
    <w:basedOn w:val="1"/>
    <w:qFormat/>
    <w:uiPriority w:val="0"/>
    <w:pPr>
      <w:widowControl w:val="0"/>
      <w:ind w:firstLine="420" w:firstLineChars="200"/>
      <w:jc w:val="both"/>
    </w:pPr>
    <w:rPr>
      <w:rFonts w:ascii="Calibri" w:hAnsi="Calibri"/>
      <w:kern w:val="2"/>
      <w:sz w:val="21"/>
      <w:szCs w:val="22"/>
    </w:rPr>
  </w:style>
  <w:style w:type="paragraph" w:customStyle="1" w:styleId="255">
    <w:name w:val="Char Char Char Char Char Char Char"/>
    <w:basedOn w:val="1"/>
    <w:qFormat/>
    <w:uiPriority w:val="0"/>
    <w:pPr>
      <w:widowControl w:val="0"/>
      <w:jc w:val="both"/>
    </w:pPr>
    <w:rPr>
      <w:kern w:val="2"/>
      <w:sz w:val="21"/>
      <w:szCs w:val="24"/>
    </w:rPr>
  </w:style>
  <w:style w:type="paragraph" w:customStyle="1" w:styleId="256">
    <w:name w:val="正文文字缩进 2"/>
    <w:basedOn w:val="1"/>
    <w:uiPriority w:val="0"/>
    <w:pPr>
      <w:widowControl w:val="0"/>
      <w:suppressAutoHyphens/>
      <w:ind w:left="600" w:firstLine="600"/>
    </w:pPr>
    <w:rPr>
      <w:kern w:val="1"/>
      <w:sz w:val="28"/>
      <w:lang w:eastAsia="ar-SA"/>
    </w:rPr>
  </w:style>
  <w:style w:type="paragraph" w:customStyle="1" w:styleId="257">
    <w:name w:val="font8"/>
    <w:basedOn w:val="1"/>
    <w:uiPriority w:val="0"/>
    <w:pPr>
      <w:spacing w:before="100" w:beforeAutospacing="1" w:after="100" w:afterAutospacing="1"/>
    </w:pPr>
    <w:rPr>
      <w:rFonts w:ascii="Arial" w:hAnsi="Arial" w:cs="Arial"/>
      <w:color w:val="000000"/>
    </w:rPr>
  </w:style>
  <w:style w:type="paragraph" w:customStyle="1" w:styleId="258">
    <w:name w:val="p6"/>
    <w:basedOn w:val="1"/>
    <w:uiPriority w:val="0"/>
    <w:pPr>
      <w:widowControl w:val="0"/>
      <w:tabs>
        <w:tab w:val="left" w:pos="720"/>
      </w:tabs>
      <w:spacing w:line="320" w:lineRule="atLeast"/>
    </w:pPr>
    <w:rPr>
      <w:snapToGrid w:val="0"/>
      <w:sz w:val="24"/>
      <w:lang w:eastAsia="en-US"/>
    </w:rPr>
  </w:style>
  <w:style w:type="paragraph" w:customStyle="1" w:styleId="259">
    <w:name w:val="xl77"/>
    <w:basedOn w:val="1"/>
    <w:uiPriority w:val="0"/>
    <w:pPr>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rFonts w:ascii="宋体" w:hAnsi="宋体" w:cs="宋体"/>
      <w:sz w:val="18"/>
      <w:szCs w:val="18"/>
    </w:rPr>
  </w:style>
  <w:style w:type="paragraph" w:customStyle="1" w:styleId="260">
    <w:name w:val="默认段落字体 Para Char Char Char Char Char Char Char"/>
    <w:basedOn w:val="18"/>
    <w:uiPriority w:val="0"/>
    <w:pPr>
      <w:adjustRightInd w:val="0"/>
      <w:spacing w:line="436" w:lineRule="exact"/>
      <w:ind w:left="357"/>
      <w:jc w:val="left"/>
      <w:outlineLvl w:val="3"/>
    </w:pPr>
    <w:rPr>
      <w:rFonts w:ascii="Tahoma" w:hAnsi="Tahoma" w:cs="Tahoma"/>
      <w:b/>
      <w:bCs/>
      <w:sz w:val="24"/>
    </w:rPr>
  </w:style>
  <w:style w:type="paragraph" w:customStyle="1" w:styleId="261">
    <w:name w:val="INDENT"/>
    <w:basedOn w:val="1"/>
    <w:uiPriority w:val="0"/>
    <w:pPr>
      <w:keepLines/>
      <w:widowControl w:val="0"/>
      <w:spacing w:after="240"/>
      <w:ind w:left="810"/>
      <w:jc w:val="both"/>
    </w:pPr>
    <w:rPr>
      <w:color w:val="000000"/>
      <w:sz w:val="24"/>
      <w:lang w:val="en-GB" w:eastAsia="en-US"/>
    </w:rPr>
  </w:style>
  <w:style w:type="paragraph" w:customStyle="1" w:styleId="262">
    <w:name w:val="Char Char1 Char"/>
    <w:basedOn w:val="1"/>
    <w:uiPriority w:val="0"/>
    <w:pPr>
      <w:snapToGrid w:val="0"/>
      <w:spacing w:after="160" w:line="360" w:lineRule="auto"/>
    </w:pPr>
    <w:rPr>
      <w:sz w:val="24"/>
      <w:szCs w:val="24"/>
      <w:lang w:eastAsia="en-US"/>
    </w:rPr>
  </w:style>
  <w:style w:type="paragraph" w:customStyle="1" w:styleId="263">
    <w:name w:val="编号"/>
    <w:basedOn w:val="1"/>
    <w:qFormat/>
    <w:uiPriority w:val="0"/>
    <w:pPr>
      <w:tabs>
        <w:tab w:val="left" w:pos="360"/>
      </w:tabs>
      <w:spacing w:line="360" w:lineRule="auto"/>
      <w:jc w:val="center"/>
    </w:pPr>
  </w:style>
  <w:style w:type="paragraph" w:customStyle="1" w:styleId="264">
    <w:name w:val="正文文本 31"/>
    <w:basedOn w:val="1"/>
    <w:uiPriority w:val="0"/>
    <w:pPr>
      <w:widowControl w:val="0"/>
      <w:suppressAutoHyphens/>
      <w:spacing w:after="120"/>
      <w:jc w:val="both"/>
    </w:pPr>
    <w:rPr>
      <w:kern w:val="1"/>
      <w:sz w:val="16"/>
      <w:szCs w:val="16"/>
      <w:lang w:eastAsia="ar-SA"/>
    </w:rPr>
  </w:style>
  <w:style w:type="paragraph" w:customStyle="1" w:styleId="265">
    <w:name w:val="font5"/>
    <w:basedOn w:val="1"/>
    <w:uiPriority w:val="0"/>
    <w:pPr>
      <w:spacing w:before="100" w:beforeAutospacing="1" w:after="100" w:afterAutospacing="1"/>
    </w:pPr>
    <w:rPr>
      <w:rFonts w:ascii="宋体" w:hAnsi="宋体" w:cs="宋体"/>
      <w:sz w:val="18"/>
      <w:szCs w:val="18"/>
    </w:rPr>
  </w:style>
  <w:style w:type="paragraph" w:customStyle="1" w:styleId="266">
    <w:name w:val="正文文本 21"/>
    <w:basedOn w:val="1"/>
    <w:uiPriority w:val="0"/>
    <w:pPr>
      <w:widowControl w:val="0"/>
      <w:suppressAutoHyphens/>
      <w:spacing w:after="120" w:line="480" w:lineRule="auto"/>
      <w:jc w:val="both"/>
    </w:pPr>
    <w:rPr>
      <w:kern w:val="1"/>
      <w:sz w:val="21"/>
      <w:szCs w:val="24"/>
      <w:lang w:eastAsia="ar-SA"/>
    </w:rPr>
  </w:style>
  <w:style w:type="paragraph" w:customStyle="1" w:styleId="267">
    <w:name w:val="xl6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sz w:val="18"/>
      <w:szCs w:val="18"/>
    </w:rPr>
  </w:style>
  <w:style w:type="paragraph" w:customStyle="1" w:styleId="268">
    <w:name w:val="Char Char Char"/>
    <w:basedOn w:val="18"/>
    <w:uiPriority w:val="0"/>
    <w:rPr>
      <w:rFonts w:ascii="Tahoma" w:hAnsi="Tahoma"/>
      <w:kern w:val="0"/>
      <w:sz w:val="24"/>
    </w:rPr>
  </w:style>
  <w:style w:type="paragraph" w:customStyle="1" w:styleId="269">
    <w:name w:val="样式 标题 2标题 1.1heading 2Heading 2 HiddenHeading 2 CCBSTitre3..."/>
    <w:basedOn w:val="3"/>
    <w:uiPriority w:val="0"/>
    <w:pPr>
      <w:keepNext/>
      <w:autoSpaceDE/>
      <w:autoSpaceDN/>
      <w:adjustRightInd/>
      <w:spacing w:before="120" w:after="80" w:line="360" w:lineRule="auto"/>
      <w:ind w:left="0" w:firstLine="0"/>
      <w:jc w:val="both"/>
    </w:pPr>
    <w:rPr>
      <w:b/>
      <w:bCs/>
      <w:color w:val="auto"/>
      <w:sz w:val="24"/>
      <w:szCs w:val="24"/>
    </w:rPr>
  </w:style>
  <w:style w:type="paragraph" w:customStyle="1" w:styleId="270">
    <w:name w:val="Table Titles 1"/>
    <w:basedOn w:val="1"/>
    <w:uiPriority w:val="0"/>
    <w:pPr>
      <w:widowControl w:val="0"/>
      <w:jc w:val="center"/>
    </w:pPr>
    <w:rPr>
      <w:b/>
      <w:bCs/>
      <w:sz w:val="24"/>
      <w:szCs w:val="24"/>
      <w:lang w:eastAsia="en-US"/>
    </w:rPr>
  </w:style>
  <w:style w:type="paragraph" w:customStyle="1" w:styleId="271">
    <w:name w:val="requirementslist"/>
    <w:basedOn w:val="1"/>
    <w:uiPriority w:val="0"/>
    <w:pPr>
      <w:tabs>
        <w:tab w:val="left" w:pos="360"/>
        <w:tab w:val="left" w:pos="643"/>
        <w:tab w:val="left" w:pos="1492"/>
      </w:tabs>
      <w:spacing w:before="120" w:after="120"/>
      <w:ind w:left="1492" w:hanging="360"/>
    </w:pPr>
    <w:rPr>
      <w:rFonts w:eastAsia="Times New Roman"/>
      <w:sz w:val="18"/>
      <w:szCs w:val="18"/>
      <w:lang w:eastAsia="en-US"/>
    </w:rPr>
  </w:style>
  <w:style w:type="paragraph" w:customStyle="1" w:styleId="272">
    <w:name w:val="普通(Web)"/>
    <w:basedOn w:val="1"/>
    <w:qFormat/>
    <w:uiPriority w:val="0"/>
    <w:pPr>
      <w:spacing w:before="100" w:beforeAutospacing="1" w:after="100" w:afterAutospacing="1"/>
    </w:pPr>
    <w:rPr>
      <w:rFonts w:ascii="宋体" w:hAnsi="宋体"/>
      <w:sz w:val="24"/>
      <w:szCs w:val="24"/>
    </w:rPr>
  </w:style>
  <w:style w:type="paragraph" w:customStyle="1" w:styleId="273">
    <w:name w:val="Bullit"/>
    <w:basedOn w:val="274"/>
    <w:uiPriority w:val="0"/>
    <w:pPr>
      <w:tabs>
        <w:tab w:val="left" w:pos="480"/>
        <w:tab w:val="left" w:pos="720"/>
        <w:tab w:val="left" w:pos="1069"/>
      </w:tabs>
      <w:ind w:left="480" w:hanging="480"/>
      <w:jc w:val="left"/>
    </w:pPr>
  </w:style>
  <w:style w:type="paragraph" w:customStyle="1" w:styleId="274">
    <w:name w:val="Tekstblok"/>
    <w:basedOn w:val="1"/>
    <w:next w:val="1"/>
    <w:uiPriority w:val="0"/>
    <w:pPr>
      <w:spacing w:line="360" w:lineRule="auto"/>
      <w:ind w:left="709"/>
      <w:jc w:val="both"/>
    </w:pPr>
    <w:rPr>
      <w:rFonts w:ascii="Arial" w:hAnsi="Arial" w:eastAsia="Times New Roman"/>
      <w:lang w:eastAsia="en-US"/>
    </w:rPr>
  </w:style>
  <w:style w:type="paragraph" w:customStyle="1" w:styleId="275">
    <w:name w:val="xl73"/>
    <w:basedOn w:val="1"/>
    <w:uiPriority w:val="0"/>
    <w:pPr>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宋体" w:hAnsi="宋体" w:cs="宋体"/>
      <w:sz w:val="18"/>
      <w:szCs w:val="18"/>
    </w:rPr>
  </w:style>
  <w:style w:type="paragraph" w:customStyle="1" w:styleId="276">
    <w:name w:val="Rührwerk"/>
    <w:basedOn w:val="24"/>
    <w:uiPriority w:val="0"/>
    <w:pPr>
      <w:spacing w:line="240" w:lineRule="auto"/>
    </w:pPr>
    <w:rPr>
      <w:spacing w:val="0"/>
      <w:sz w:val="24"/>
      <w:lang w:eastAsia="de-DE"/>
    </w:rPr>
  </w:style>
  <w:style w:type="paragraph" w:customStyle="1" w:styleId="277">
    <w:name w:val="标题 3heading 4Heading 4 - oldH4 + 宋体 五号"/>
    <w:basedOn w:val="4"/>
    <w:next w:val="5"/>
    <w:uiPriority w:val="0"/>
    <w:pPr>
      <w:widowControl/>
      <w:spacing w:line="415" w:lineRule="auto"/>
      <w:jc w:val="left"/>
    </w:pPr>
    <w:rPr>
      <w:rFonts w:ascii="宋体" w:hAnsi="宋体"/>
      <w:kern w:val="0"/>
      <w:sz w:val="21"/>
    </w:rPr>
  </w:style>
  <w:style w:type="paragraph" w:customStyle="1" w:styleId="278">
    <w:name w:val="列出段落11"/>
    <w:basedOn w:val="1"/>
    <w:qFormat/>
    <w:uiPriority w:val="0"/>
    <w:pPr>
      <w:widowControl w:val="0"/>
      <w:ind w:firstLine="420" w:firstLineChars="200"/>
      <w:jc w:val="both"/>
    </w:pPr>
    <w:rPr>
      <w:rFonts w:ascii="Calibri" w:hAnsi="Calibri"/>
      <w:kern w:val="2"/>
      <w:sz w:val="21"/>
      <w:szCs w:val="22"/>
    </w:rPr>
  </w:style>
  <w:style w:type="paragraph" w:customStyle="1" w:styleId="279">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280">
    <w:name w:val="h1 text"/>
    <w:basedOn w:val="1"/>
    <w:uiPriority w:val="0"/>
    <w:pPr>
      <w:widowControl w:val="0"/>
    </w:pPr>
    <w:rPr>
      <w:rFonts w:ascii="Arial" w:hAnsi="Arial" w:eastAsia="Times New Roman"/>
      <w:sz w:val="22"/>
      <w:lang w:eastAsia="en-US"/>
    </w:rPr>
  </w:style>
  <w:style w:type="paragraph" w:customStyle="1" w:styleId="281">
    <w:name w:val="CM7"/>
    <w:basedOn w:val="282"/>
    <w:next w:val="282"/>
    <w:uiPriority w:val="0"/>
    <w:pPr>
      <w:spacing w:line="468" w:lineRule="atLeast"/>
    </w:pPr>
    <w:rPr>
      <w:rFonts w:hAnsi="宋体" w:cs="Times New Roman"/>
      <w:color w:val="auto"/>
    </w:rPr>
  </w:style>
  <w:style w:type="paragraph" w:customStyle="1" w:styleId="28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83">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sz w:val="18"/>
      <w:szCs w:val="18"/>
    </w:rPr>
  </w:style>
  <w:style w:type="paragraph" w:customStyle="1" w:styleId="284">
    <w:name w:val="列出段落2"/>
    <w:basedOn w:val="1"/>
    <w:uiPriority w:val="0"/>
    <w:pPr>
      <w:widowControl w:val="0"/>
      <w:ind w:firstLine="420" w:firstLineChars="200"/>
      <w:jc w:val="both"/>
    </w:pPr>
    <w:rPr>
      <w:rFonts w:ascii="Calibri" w:hAnsi="Calibri" w:cs="宋体"/>
      <w:kern w:val="2"/>
      <w:sz w:val="21"/>
      <w:szCs w:val="21"/>
    </w:rPr>
  </w:style>
  <w:style w:type="paragraph" w:customStyle="1" w:styleId="285">
    <w:name w:val="font7"/>
    <w:basedOn w:val="1"/>
    <w:uiPriority w:val="0"/>
    <w:pPr>
      <w:spacing w:before="100" w:beforeAutospacing="1" w:after="100" w:afterAutospacing="1"/>
    </w:pPr>
    <w:rPr>
      <w:rFonts w:ascii="宋体" w:hAnsi="宋体" w:cs="宋体"/>
      <w:color w:val="000000"/>
    </w:rPr>
  </w:style>
  <w:style w:type="paragraph" w:customStyle="1" w:styleId="286">
    <w:name w:val="二"/>
    <w:basedOn w:val="1"/>
    <w:next w:val="43"/>
    <w:uiPriority w:val="0"/>
    <w:pPr>
      <w:widowControl w:val="0"/>
      <w:spacing w:line="360" w:lineRule="auto"/>
      <w:ind w:firstLine="480" w:firstLineChars="200"/>
      <w:jc w:val="both"/>
    </w:pPr>
    <w:rPr>
      <w:rFonts w:ascii="宋体" w:hAnsi="宋体"/>
      <w:kern w:val="2"/>
      <w:sz w:val="24"/>
      <w:szCs w:val="24"/>
    </w:rPr>
  </w:style>
  <w:style w:type="paragraph" w:customStyle="1" w:styleId="287">
    <w:name w:val="Char"/>
    <w:basedOn w:val="1"/>
    <w:uiPriority w:val="0"/>
    <w:pPr>
      <w:spacing w:line="351" w:lineRule="atLeast"/>
      <w:ind w:firstLine="419"/>
      <w:jc w:val="both"/>
      <w:textAlignment w:val="baseline"/>
    </w:pPr>
    <w:rPr>
      <w:color w:val="000000"/>
      <w:sz w:val="21"/>
    </w:rPr>
  </w:style>
  <w:style w:type="paragraph" w:customStyle="1" w:styleId="288">
    <w:name w:val="Titolo rapp."/>
    <w:basedOn w:val="1"/>
    <w:uiPriority w:val="0"/>
    <w:pPr>
      <w:jc w:val="center"/>
    </w:pPr>
    <w:rPr>
      <w:rFonts w:ascii="Arial" w:hAnsi="Arial"/>
      <w:b/>
      <w:caps/>
      <w:sz w:val="21"/>
      <w:szCs w:val="21"/>
      <w:lang w:val="it-IT" w:eastAsia="it-IT"/>
    </w:rPr>
  </w:style>
  <w:style w:type="paragraph" w:customStyle="1" w:styleId="289">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textAlignment w:val="top"/>
    </w:pPr>
    <w:rPr>
      <w:rFonts w:ascii="Arial" w:hAnsi="Arial" w:eastAsia="Arial Unicode MS" w:cs="Arial"/>
      <w:sz w:val="24"/>
      <w:szCs w:val="22"/>
      <w:lang w:eastAsia="en-US"/>
    </w:rPr>
  </w:style>
  <w:style w:type="paragraph" w:customStyle="1" w:styleId="290">
    <w:name w:val="CM18"/>
    <w:basedOn w:val="282"/>
    <w:next w:val="282"/>
    <w:uiPriority w:val="0"/>
    <w:pPr>
      <w:spacing w:after="75"/>
    </w:pPr>
    <w:rPr>
      <w:rFonts w:hAnsi="宋体" w:cs="Times New Roman"/>
      <w:color w:val="auto"/>
    </w:rPr>
  </w:style>
  <w:style w:type="paragraph" w:customStyle="1" w:styleId="291">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292">
    <w:name w:val="Table Text 1"/>
    <w:basedOn w:val="1"/>
    <w:uiPriority w:val="0"/>
    <w:pPr>
      <w:widowControl w:val="0"/>
    </w:pPr>
    <w:rPr>
      <w:rFonts w:ascii="Arial" w:hAnsi="Arial" w:eastAsia="楷体_GB2312" w:cs="Arial"/>
      <w:bCs/>
      <w:color w:val="000000"/>
      <w:sz w:val="21"/>
      <w:szCs w:val="24"/>
    </w:rPr>
  </w:style>
  <w:style w:type="paragraph" w:customStyle="1" w:styleId="293">
    <w:name w:val="xl25"/>
    <w:basedOn w:val="1"/>
    <w:uiPriority w:val="0"/>
    <w:pPr>
      <w:spacing w:before="100" w:beforeAutospacing="1" w:after="100" w:afterAutospacing="1"/>
      <w:jc w:val="center"/>
    </w:pPr>
    <w:rPr>
      <w:rFonts w:ascii="宋体" w:hAnsi="宋体"/>
      <w:sz w:val="24"/>
      <w:szCs w:val="24"/>
    </w:rPr>
  </w:style>
  <w:style w:type="paragraph" w:customStyle="1" w:styleId="294">
    <w:name w:val="Table2"/>
    <w:basedOn w:val="295"/>
    <w:uiPriority w:val="0"/>
    <w:pPr>
      <w:tabs>
        <w:tab w:val="left" w:pos="0"/>
        <w:tab w:val="left" w:pos="1440"/>
      </w:tabs>
      <w:jc w:val="right"/>
    </w:pPr>
    <w:rPr>
      <w:b w:val="0"/>
    </w:rPr>
  </w:style>
  <w:style w:type="paragraph" w:customStyle="1" w:styleId="295">
    <w:name w:val="Table1"/>
    <w:basedOn w:val="1"/>
    <w:uiPriority w:val="0"/>
    <w:pPr>
      <w:keepLines/>
      <w:widowControl w:val="0"/>
      <w:tabs>
        <w:tab w:val="left" w:pos="0"/>
        <w:tab w:val="left" w:pos="1440"/>
      </w:tabs>
      <w:spacing w:before="120" w:after="120"/>
      <w:ind w:left="57"/>
    </w:pPr>
    <w:rPr>
      <w:b/>
      <w:snapToGrid w:val="0"/>
      <w:color w:val="000000"/>
      <w:sz w:val="24"/>
      <w:lang w:val="en-GB" w:eastAsia="en-US"/>
    </w:rPr>
  </w:style>
  <w:style w:type="paragraph" w:customStyle="1" w:styleId="296">
    <w:name w:val="目录1"/>
    <w:basedOn w:val="1"/>
    <w:uiPriority w:val="0"/>
    <w:pPr>
      <w:tabs>
        <w:tab w:val="left" w:leader="dot" w:pos="8503"/>
      </w:tabs>
      <w:spacing w:after="136" w:line="289" w:lineRule="atLeast"/>
      <w:textAlignment w:val="baseline"/>
    </w:pPr>
    <w:rPr>
      <w:rFonts w:ascii="Arial" w:eastAsia="黑体"/>
      <w:color w:val="000000"/>
      <w:sz w:val="28"/>
    </w:rPr>
  </w:style>
  <w:style w:type="paragraph" w:customStyle="1" w:styleId="297">
    <w:name w:val="样式2"/>
    <w:uiPriority w:val="0"/>
    <w:pPr>
      <w:pBdr>
        <w:bottom w:val="single" w:color="auto" w:sz="6" w:space="2"/>
      </w:pBdr>
      <w:tabs>
        <w:tab w:val="left" w:pos="1700"/>
        <w:tab w:val="left" w:pos="2573"/>
        <w:tab w:val="center" w:pos="4592"/>
        <w:tab w:val="center" w:pos="4819"/>
        <w:tab w:val="right" w:pos="9185"/>
        <w:tab w:val="right" w:pos="9639"/>
      </w:tabs>
      <w:spacing w:line="300" w:lineRule="auto"/>
      <w:ind w:right="420"/>
      <w:jc w:val="both"/>
    </w:pPr>
    <w:rPr>
      <w:rFonts w:ascii="宋体" w:hAnsi="宋体"/>
      <w:kern w:val="2"/>
      <w:sz w:val="21"/>
      <w:lang w:val="en-US" w:eastAsia="zh-CN" w:bidi="ar-SA"/>
    </w:rPr>
  </w:style>
  <w:style w:type="paragraph" w:customStyle="1" w:styleId="298">
    <w:name w:val="日期1"/>
    <w:basedOn w:val="1"/>
    <w:next w:val="1"/>
    <w:qFormat/>
    <w:uiPriority w:val="0"/>
    <w:pPr>
      <w:ind w:left="100" w:leftChars="2500" w:firstLine="419"/>
      <w:jc w:val="both"/>
    </w:pPr>
    <w:rPr>
      <w:rFonts w:ascii="Calibri" w:hAnsi="Calibri" w:eastAsia="Times New Roman"/>
      <w:color w:val="000000"/>
      <w:sz w:val="21"/>
    </w:rPr>
  </w:style>
  <w:style w:type="paragraph" w:customStyle="1" w:styleId="299">
    <w:name w:val="Style Style Style Style Style Text + Left:  4 ch Right:  4 ch + Lef..."/>
    <w:basedOn w:val="1"/>
    <w:uiPriority w:val="0"/>
    <w:pPr>
      <w:widowControl w:val="0"/>
      <w:ind w:left="400" w:leftChars="400" w:right="400" w:rightChars="400"/>
      <w:jc w:val="both"/>
    </w:pPr>
    <w:rPr>
      <w:rFonts w:cs="宋体"/>
      <w:kern w:val="2"/>
      <w:sz w:val="21"/>
    </w:rPr>
  </w:style>
  <w:style w:type="paragraph" w:customStyle="1" w:styleId="300">
    <w:name w:val="CM16"/>
    <w:basedOn w:val="1"/>
    <w:next w:val="1"/>
    <w:uiPriority w:val="0"/>
    <w:pPr>
      <w:widowControl w:val="0"/>
      <w:autoSpaceDE w:val="0"/>
      <w:autoSpaceDN w:val="0"/>
      <w:adjustRightInd w:val="0"/>
      <w:spacing w:after="320"/>
    </w:pPr>
    <w:rPr>
      <w:rFonts w:ascii="Arial" w:hAnsi="Arial"/>
      <w:sz w:val="24"/>
      <w:szCs w:val="24"/>
    </w:rPr>
  </w:style>
  <w:style w:type="paragraph" w:customStyle="1" w:styleId="301">
    <w:name w:val="TOC Heading"/>
    <w:basedOn w:val="2"/>
    <w:next w:val="1"/>
    <w:qFormat/>
    <w:uiPriority w:val="0"/>
    <w:pPr>
      <w:widowControl/>
      <w:pBdr>
        <w:bottom w:val="thinThickSmallGap" w:color="943634" w:sz="12" w:space="1"/>
      </w:pBdr>
      <w:tabs>
        <w:tab w:val="clear" w:pos="8630"/>
      </w:tabs>
      <w:spacing w:before="400" w:after="200" w:line="252" w:lineRule="auto"/>
      <w:jc w:val="center"/>
      <w:outlineLvl w:val="9"/>
    </w:pPr>
    <w:rPr>
      <w:rFonts w:ascii="Cambria" w:hAnsi="Cambria" w:eastAsia="宋体"/>
      <w:i w:val="0"/>
      <w:caps/>
      <w:color w:val="632423"/>
      <w:spacing w:val="20"/>
      <w:kern w:val="0"/>
      <w:szCs w:val="28"/>
      <w:lang w:bidi="en-US"/>
    </w:rPr>
  </w:style>
  <w:style w:type="paragraph" w:customStyle="1" w:styleId="302">
    <w:name w:val="批注主题1"/>
    <w:basedOn w:val="19"/>
    <w:next w:val="19"/>
    <w:uiPriority w:val="0"/>
    <w:rPr>
      <w:b/>
      <w:bCs/>
      <w:kern w:val="0"/>
      <w:sz w:val="20"/>
    </w:rPr>
  </w:style>
  <w:style w:type="paragraph" w:customStyle="1" w:styleId="303">
    <w:name w:val="文章附标题"/>
    <w:basedOn w:val="1"/>
    <w:uiPriority w:val="0"/>
    <w:pPr>
      <w:spacing w:before="187" w:after="175" w:line="374" w:lineRule="atLeast"/>
      <w:jc w:val="center"/>
      <w:textAlignment w:val="baseline"/>
    </w:pPr>
    <w:rPr>
      <w:color w:val="000000"/>
      <w:sz w:val="36"/>
    </w:rPr>
  </w:style>
  <w:style w:type="paragraph" w:customStyle="1" w:styleId="304">
    <w:name w:val="目录4"/>
    <w:basedOn w:val="1"/>
    <w:uiPriority w:val="0"/>
    <w:pPr>
      <w:tabs>
        <w:tab w:val="left" w:leader="dot" w:pos="7370"/>
      </w:tabs>
      <w:spacing w:line="317" w:lineRule="atLeast"/>
      <w:ind w:firstLine="629"/>
      <w:jc w:val="both"/>
      <w:textAlignment w:val="baseline"/>
    </w:pPr>
    <w:rPr>
      <w:color w:val="000000"/>
      <w:sz w:val="21"/>
    </w:rPr>
  </w:style>
  <w:style w:type="paragraph" w:customStyle="1" w:styleId="305">
    <w:name w:val="3正文"/>
    <w:basedOn w:val="24"/>
    <w:uiPriority w:val="0"/>
    <w:pPr>
      <w:widowControl w:val="0"/>
      <w:spacing w:before="100" w:beforeAutospacing="1" w:after="100" w:afterAutospacing="1" w:line="240" w:lineRule="auto"/>
      <w:jc w:val="both"/>
    </w:pPr>
    <w:rPr>
      <w:spacing w:val="0"/>
      <w:kern w:val="2"/>
      <w:sz w:val="24"/>
      <w:szCs w:val="24"/>
    </w:rPr>
  </w:style>
  <w:style w:type="paragraph" w:customStyle="1" w:styleId="306">
    <w:name w:val="TP_Table_Text"/>
    <w:basedOn w:val="1"/>
    <w:uiPriority w:val="0"/>
    <w:pPr>
      <w:spacing w:before="60" w:after="60"/>
    </w:pPr>
    <w:rPr>
      <w:rFonts w:ascii="Arial" w:hAnsi="Arial"/>
      <w:lang w:val="en-GB" w:eastAsia="en-US"/>
    </w:rPr>
  </w:style>
  <w:style w:type="paragraph" w:customStyle="1" w:styleId="307">
    <w:name w:val="默认段落字体 Para Char Char Char Char"/>
    <w:basedOn w:val="1"/>
    <w:uiPriority w:val="0"/>
    <w:pPr>
      <w:widowControl w:val="0"/>
      <w:snapToGrid w:val="0"/>
      <w:jc w:val="both"/>
    </w:pPr>
    <w:rPr>
      <w:kern w:val="2"/>
      <w:sz w:val="28"/>
    </w:rPr>
  </w:style>
  <w:style w:type="paragraph" w:customStyle="1" w:styleId="308">
    <w:name w:val="IQ/OQ Body Text"/>
    <w:basedOn w:val="1"/>
    <w:uiPriority w:val="0"/>
    <w:pPr>
      <w:spacing w:before="60" w:after="60"/>
      <w:ind w:left="720" w:right="125"/>
      <w:jc w:val="both"/>
    </w:pPr>
    <w:rPr>
      <w:color w:val="000000"/>
      <w:sz w:val="24"/>
      <w:lang w:val="en-GB" w:eastAsia="en-US"/>
    </w:rPr>
  </w:style>
  <w:style w:type="paragraph" w:customStyle="1" w:styleId="309">
    <w:name w:val="节标题"/>
    <w:basedOn w:val="1"/>
    <w:uiPriority w:val="0"/>
    <w:pPr>
      <w:spacing w:line="289" w:lineRule="atLeast"/>
      <w:jc w:val="center"/>
      <w:textAlignment w:val="baseline"/>
    </w:pPr>
    <w:rPr>
      <w:color w:val="000000"/>
      <w:sz w:val="28"/>
    </w:rPr>
  </w:style>
  <w:style w:type="paragraph" w:customStyle="1" w:styleId="310">
    <w:name w:val="font6"/>
    <w:basedOn w:val="1"/>
    <w:uiPriority w:val="0"/>
    <w:pPr>
      <w:spacing w:before="100" w:beforeAutospacing="1" w:after="100" w:afterAutospacing="1"/>
    </w:pPr>
    <w:rPr>
      <w:rFonts w:ascii="宋体" w:hAnsi="宋体" w:cs="宋体"/>
      <w:color w:val="000000"/>
      <w:sz w:val="18"/>
      <w:szCs w:val="18"/>
    </w:rPr>
  </w:style>
  <w:style w:type="paragraph" w:customStyle="1" w:styleId="311">
    <w:name w:val="font9"/>
    <w:basedOn w:val="1"/>
    <w:uiPriority w:val="0"/>
    <w:pPr>
      <w:spacing w:before="100" w:beforeAutospacing="1" w:after="100" w:afterAutospacing="1"/>
    </w:pPr>
    <w:rPr>
      <w:rFonts w:ascii="Courier New" w:hAnsi="Courier New" w:cs="Courier New"/>
      <w:sz w:val="21"/>
      <w:szCs w:val="21"/>
    </w:rPr>
  </w:style>
  <w:style w:type="paragraph" w:customStyle="1" w:styleId="312">
    <w:name w:val="无间隔1"/>
    <w:uiPriority w:val="0"/>
    <w:pPr>
      <w:jc w:val="both"/>
    </w:pPr>
    <w:rPr>
      <w:kern w:val="2"/>
      <w:sz w:val="21"/>
      <w:lang w:val="en-US" w:eastAsia="en-US" w:bidi="ar-SA"/>
    </w:rPr>
  </w:style>
  <w:style w:type="paragraph" w:customStyle="1" w:styleId="313">
    <w:name w:val="Table Text"/>
    <w:basedOn w:val="1"/>
    <w:uiPriority w:val="0"/>
    <w:pPr>
      <w:spacing w:before="60" w:after="60"/>
      <w:jc w:val="center"/>
    </w:pPr>
    <w:rPr>
      <w:bCs/>
      <w:sz w:val="24"/>
      <w:szCs w:val="24"/>
      <w:lang w:eastAsia="en-US"/>
    </w:rPr>
  </w:style>
  <w:style w:type="paragraph" w:customStyle="1" w:styleId="314">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315">
    <w:name w:val="Char1"/>
    <w:basedOn w:val="1"/>
    <w:uiPriority w:val="0"/>
    <w:pPr>
      <w:spacing w:line="351" w:lineRule="atLeast"/>
      <w:ind w:firstLine="419"/>
      <w:jc w:val="both"/>
      <w:textAlignment w:val="baseline"/>
    </w:pPr>
    <w:rPr>
      <w:color w:val="000000"/>
      <w:sz w:val="21"/>
    </w:rPr>
  </w:style>
  <w:style w:type="paragraph" w:customStyle="1" w:styleId="316">
    <w:name w:val="Char1 Char Char Char Char Char Char"/>
    <w:basedOn w:val="1"/>
    <w:uiPriority w:val="0"/>
    <w:pPr>
      <w:widowControl w:val="0"/>
      <w:jc w:val="both"/>
    </w:pPr>
    <w:rPr>
      <w:rFonts w:ascii="Tahoma" w:hAnsi="Tahoma"/>
      <w:kern w:val="2"/>
      <w:sz w:val="24"/>
    </w:rPr>
  </w:style>
  <w:style w:type="paragraph" w:customStyle="1" w:styleId="317">
    <w:name w:val="封面正文"/>
    <w:basedOn w:val="1"/>
    <w:qFormat/>
    <w:uiPriority w:val="0"/>
    <w:pPr>
      <w:spacing w:line="351" w:lineRule="atLeast"/>
      <w:ind w:firstLine="419"/>
      <w:jc w:val="center"/>
      <w:textAlignment w:val="baseline"/>
    </w:pPr>
    <w:rPr>
      <w:rFonts w:eastAsia="幼圆"/>
      <w:color w:val="000000"/>
      <w:sz w:val="32"/>
    </w:rPr>
  </w:style>
  <w:style w:type="paragraph" w:customStyle="1" w:styleId="318">
    <w:name w:val="表格内容"/>
    <w:basedOn w:val="1"/>
    <w:qFormat/>
    <w:uiPriority w:val="0"/>
    <w:pPr>
      <w:widowControl w:val="0"/>
      <w:suppressLineNumbers/>
      <w:suppressAutoHyphens/>
      <w:jc w:val="both"/>
    </w:pPr>
    <w:rPr>
      <w:kern w:val="1"/>
      <w:sz w:val="21"/>
      <w:lang w:eastAsia="ar-SA"/>
    </w:rPr>
  </w:style>
  <w:style w:type="paragraph" w:customStyle="1" w:styleId="319">
    <w:name w:val="纯文本1"/>
    <w:basedOn w:val="1"/>
    <w:uiPriority w:val="0"/>
    <w:pPr>
      <w:widowControl w:val="0"/>
      <w:jc w:val="both"/>
    </w:pPr>
    <w:rPr>
      <w:rFonts w:ascii="宋体" w:hAnsi="Courier New"/>
    </w:rPr>
  </w:style>
  <w:style w:type="paragraph" w:customStyle="1" w:styleId="320">
    <w:name w:val="xl78"/>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sz w:val="18"/>
      <w:szCs w:val="18"/>
    </w:rPr>
  </w:style>
  <w:style w:type="paragraph" w:customStyle="1" w:styleId="321">
    <w:name w:val="CM20"/>
    <w:basedOn w:val="282"/>
    <w:next w:val="282"/>
    <w:uiPriority w:val="0"/>
    <w:pPr>
      <w:spacing w:after="263"/>
    </w:pPr>
    <w:rPr>
      <w:rFonts w:hAnsi="宋体" w:cs="Times New Roman"/>
      <w:color w:val="auto"/>
    </w:rPr>
  </w:style>
  <w:style w:type="paragraph" w:customStyle="1" w:styleId="322">
    <w:name w:val="AAN/CC"/>
    <w:basedOn w:val="1"/>
    <w:uiPriority w:val="0"/>
    <w:pPr>
      <w:tabs>
        <w:tab w:val="left" w:pos="700"/>
        <w:tab w:val="left" w:pos="1100"/>
        <w:tab w:val="left" w:pos="6200"/>
        <w:tab w:val="left" w:pos="6620"/>
        <w:tab w:val="left" w:pos="6940"/>
      </w:tabs>
      <w:spacing w:before="60" w:after="60"/>
    </w:pPr>
    <w:rPr>
      <w:rFonts w:ascii="Helvetica" w:hAnsi="Helvetica"/>
      <w:sz w:val="22"/>
      <w:lang w:val="nl-NL" w:eastAsia="en-US"/>
    </w:rPr>
  </w:style>
  <w:style w:type="paragraph" w:customStyle="1" w:styleId="323">
    <w:name w:val="目录3"/>
    <w:basedOn w:val="1"/>
    <w:uiPriority w:val="0"/>
    <w:pPr>
      <w:tabs>
        <w:tab w:val="left" w:leader="dot" w:pos="7370"/>
      </w:tabs>
      <w:spacing w:line="317" w:lineRule="atLeast"/>
      <w:ind w:firstLine="419"/>
      <w:jc w:val="both"/>
      <w:textAlignment w:val="baseline"/>
    </w:pPr>
    <w:rPr>
      <w:color w:val="000000"/>
      <w:sz w:val="21"/>
    </w:rPr>
  </w:style>
  <w:style w:type="paragraph" w:customStyle="1" w:styleId="324">
    <w:name w:val="Heading Left New New New"/>
    <w:basedOn w:val="325"/>
    <w:qFormat/>
    <w:uiPriority w:val="0"/>
    <w:pPr>
      <w:tabs>
        <w:tab w:val="center" w:pos="4820"/>
        <w:tab w:val="right" w:pos="9639"/>
      </w:tabs>
      <w:spacing w:before="120" w:after="120"/>
    </w:pPr>
    <w:rPr>
      <w:rFonts w:ascii="Arial" w:hAnsi="Arial"/>
      <w:b/>
      <w:caps/>
      <w:sz w:val="24"/>
      <w:lang w:val="en-GB" w:eastAsia="en-US"/>
    </w:rPr>
  </w:style>
  <w:style w:type="paragraph" w:customStyle="1" w:styleId="325">
    <w:name w:val="正文 New New New New New New New New New New"/>
    <w:qFormat/>
    <w:uiPriority w:val="0"/>
    <w:pPr>
      <w:spacing w:line="360" w:lineRule="auto"/>
    </w:pPr>
    <w:rPr>
      <w:sz w:val="21"/>
      <w:szCs w:val="22"/>
      <w:lang w:val="en-US" w:eastAsia="zh-CN" w:bidi="ar-SA"/>
    </w:rPr>
  </w:style>
  <w:style w:type="paragraph" w:customStyle="1" w:styleId="326">
    <w:name w:val="Geltungsbereich"/>
    <w:basedOn w:val="1"/>
    <w:uiPriority w:val="0"/>
    <w:pPr>
      <w:spacing w:after="40" w:line="351" w:lineRule="atLeast"/>
      <w:ind w:firstLine="419"/>
      <w:jc w:val="both"/>
      <w:textAlignment w:val="baseline"/>
    </w:pPr>
    <w:rPr>
      <w:rFonts w:ascii="Arial" w:hAnsi="Arial"/>
      <w:color w:val="000000"/>
      <w:sz w:val="21"/>
      <w:lang w:val="de-CH"/>
    </w:rPr>
  </w:style>
  <w:style w:type="paragraph" w:customStyle="1" w:styleId="327">
    <w:name w:val="Char Char 字元 字元 字元 Char Char Char Char"/>
    <w:basedOn w:val="1"/>
    <w:uiPriority w:val="0"/>
    <w:pPr>
      <w:widowControl w:val="0"/>
      <w:adjustRightInd w:val="0"/>
      <w:spacing w:line="360" w:lineRule="auto"/>
      <w:jc w:val="both"/>
    </w:pPr>
    <w:rPr>
      <w:color w:val="000000"/>
      <w:sz w:val="21"/>
    </w:rPr>
  </w:style>
  <w:style w:type="paragraph" w:customStyle="1" w:styleId="328">
    <w:name w:val="Novartis_Schriftzug"/>
    <w:basedOn w:val="1"/>
    <w:uiPriority w:val="0"/>
    <w:pPr>
      <w:spacing w:after="80" w:line="351" w:lineRule="atLeast"/>
      <w:ind w:firstLine="419"/>
      <w:jc w:val="both"/>
      <w:textAlignment w:val="baseline"/>
    </w:pPr>
    <w:rPr>
      <w:color w:val="000000"/>
      <w:lang w:val="de-CH"/>
    </w:rPr>
  </w:style>
  <w:style w:type="paragraph" w:customStyle="1" w:styleId="329">
    <w:name w:val="Char Char Char Char1"/>
    <w:basedOn w:val="1"/>
    <w:uiPriority w:val="0"/>
    <w:pPr>
      <w:widowControl w:val="0"/>
      <w:jc w:val="both"/>
    </w:pPr>
    <w:rPr>
      <w:kern w:val="2"/>
      <w:sz w:val="21"/>
      <w:szCs w:val="24"/>
    </w:rPr>
  </w:style>
  <w:style w:type="paragraph" w:customStyle="1" w:styleId="330">
    <w:name w:val="xl35"/>
    <w:basedOn w:val="1"/>
    <w:uiPriority w:val="0"/>
    <w:pPr>
      <w:pBdr>
        <w:left w:val="single" w:color="auto" w:sz="4" w:space="0"/>
        <w:bottom w:val="single" w:color="auto" w:sz="4" w:space="0"/>
        <w:right w:val="single" w:color="auto" w:sz="4" w:space="0"/>
      </w:pBdr>
      <w:spacing w:before="100" w:beforeAutospacing="1" w:after="100" w:afterAutospacing="1" w:line="252" w:lineRule="auto"/>
      <w:jc w:val="center"/>
    </w:pPr>
    <w:rPr>
      <w:rFonts w:ascii="Arial" w:hAnsi="Arial" w:eastAsia="Arial Unicode MS" w:cs="Arial"/>
      <w:sz w:val="18"/>
      <w:szCs w:val="18"/>
      <w:lang w:eastAsia="en-US"/>
    </w:rPr>
  </w:style>
  <w:style w:type="paragraph" w:customStyle="1" w:styleId="331">
    <w:name w:val="结束语1"/>
    <w:basedOn w:val="1"/>
    <w:uiPriority w:val="0"/>
    <w:pPr>
      <w:suppressAutoHyphens/>
      <w:spacing w:before="120" w:after="120" w:line="240" w:lineRule="atLeast"/>
      <w:jc w:val="both"/>
    </w:pPr>
    <w:rPr>
      <w:rFonts w:ascii="Arial" w:hAnsi="Arial"/>
      <w:kern w:val="1"/>
      <w:sz w:val="16"/>
      <w:lang w:eastAsia="ar-SA"/>
    </w:rPr>
  </w:style>
  <w:style w:type="paragraph" w:customStyle="1" w:styleId="332">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sz w:val="18"/>
      <w:szCs w:val="18"/>
    </w:rPr>
  </w:style>
  <w:style w:type="paragraph" w:customStyle="1" w:styleId="333">
    <w:name w:val="font10"/>
    <w:basedOn w:val="1"/>
    <w:uiPriority w:val="0"/>
    <w:pPr>
      <w:spacing w:before="100" w:beforeAutospacing="1" w:after="100" w:afterAutospacing="1"/>
    </w:pPr>
    <w:rPr>
      <w:rFonts w:ascii="宋体" w:hAnsi="宋体" w:cs="宋体"/>
      <w:b/>
      <w:bCs/>
      <w:sz w:val="21"/>
      <w:szCs w:val="21"/>
    </w:rPr>
  </w:style>
  <w:style w:type="paragraph" w:customStyle="1" w:styleId="334">
    <w:name w:val="文章副标题"/>
    <w:basedOn w:val="1"/>
    <w:next w:val="1"/>
    <w:uiPriority w:val="0"/>
    <w:pPr>
      <w:spacing w:before="187" w:after="175" w:line="374" w:lineRule="atLeast"/>
      <w:jc w:val="center"/>
      <w:textAlignment w:val="baseline"/>
    </w:pPr>
    <w:rPr>
      <w:color w:val="000000"/>
      <w:sz w:val="36"/>
    </w:rPr>
  </w:style>
  <w:style w:type="paragraph" w:customStyle="1" w:styleId="335">
    <w:name w:val="xl71"/>
    <w:basedOn w:val="1"/>
    <w:qFormat/>
    <w:uiPriority w:val="0"/>
    <w:pPr>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textAlignment w:val="center"/>
    </w:pPr>
    <w:rPr>
      <w:rFonts w:ascii="宋体" w:hAnsi="宋体" w:cs="宋体"/>
      <w:sz w:val="18"/>
      <w:szCs w:val="18"/>
    </w:rPr>
  </w:style>
  <w:style w:type="paragraph" w:customStyle="1" w:styleId="336">
    <w:name w:val="目录2"/>
    <w:basedOn w:val="1"/>
    <w:uiPriority w:val="0"/>
    <w:pPr>
      <w:tabs>
        <w:tab w:val="left" w:leader="dot" w:pos="7370"/>
      </w:tabs>
      <w:spacing w:line="317" w:lineRule="atLeast"/>
      <w:ind w:firstLine="209"/>
      <w:jc w:val="both"/>
      <w:textAlignment w:val="baseline"/>
    </w:pPr>
    <w:rPr>
      <w:color w:val="000000"/>
      <w:sz w:val="21"/>
    </w:rPr>
  </w:style>
  <w:style w:type="paragraph" w:customStyle="1" w:styleId="337">
    <w:name w:val="_Style 2"/>
    <w:basedOn w:val="1"/>
    <w:qFormat/>
    <w:uiPriority w:val="0"/>
    <w:pPr>
      <w:widowControl w:val="0"/>
      <w:ind w:firstLine="420" w:firstLineChars="200"/>
      <w:jc w:val="both"/>
    </w:pPr>
    <w:rPr>
      <w:kern w:val="2"/>
      <w:sz w:val="21"/>
      <w:szCs w:val="24"/>
    </w:rPr>
  </w:style>
  <w:style w:type="paragraph" w:customStyle="1" w:styleId="338">
    <w:name w:val="Table Body"/>
    <w:basedOn w:val="1"/>
    <w:uiPriority w:val="0"/>
    <w:pPr>
      <w:spacing w:before="60" w:after="60"/>
    </w:pPr>
    <w:rPr>
      <w:rFonts w:ascii="Arial" w:hAnsi="Arial"/>
      <w:sz w:val="22"/>
    </w:rPr>
  </w:style>
  <w:style w:type="paragraph" w:customStyle="1" w:styleId="339">
    <w:name w:val="Tabletitle"/>
    <w:basedOn w:val="1"/>
    <w:next w:val="1"/>
    <w:uiPriority w:val="0"/>
    <w:pPr>
      <w:widowControl w:val="0"/>
      <w:spacing w:after="200"/>
    </w:pPr>
    <w:rPr>
      <w:rFonts w:eastAsia="Times New Roman"/>
      <w:b/>
      <w:sz w:val="18"/>
      <w:lang w:eastAsia="en-US"/>
    </w:rPr>
  </w:style>
  <w:style w:type="paragraph" w:customStyle="1" w:styleId="340">
    <w:name w:val="sopind2"/>
    <w:basedOn w:val="1"/>
    <w:uiPriority w:val="0"/>
    <w:pPr>
      <w:spacing w:before="120"/>
      <w:ind w:left="900" w:hanging="720"/>
    </w:pPr>
    <w:rPr>
      <w:color w:val="000000"/>
      <w:sz w:val="24"/>
      <w:lang w:val="en-GB" w:eastAsia="en-US"/>
    </w:rPr>
  </w:style>
  <w:style w:type="paragraph" w:customStyle="1" w:styleId="341">
    <w:name w:val="目录标题"/>
    <w:basedOn w:val="1"/>
    <w:uiPriority w:val="0"/>
    <w:pPr>
      <w:spacing w:before="566" w:after="544" w:line="566" w:lineRule="atLeast"/>
      <w:ind w:firstLine="419"/>
      <w:jc w:val="center"/>
      <w:textAlignment w:val="baseline"/>
    </w:pPr>
    <w:rPr>
      <w:rFonts w:ascii="Arial" w:eastAsia="黑体"/>
      <w:color w:val="000000"/>
      <w:spacing w:val="566"/>
      <w:sz w:val="54"/>
    </w:rPr>
  </w:style>
  <w:style w:type="paragraph" w:customStyle="1" w:styleId="342">
    <w:name w:val="ListHeader"/>
    <w:basedOn w:val="1"/>
    <w:uiPriority w:val="0"/>
    <w:pPr>
      <w:widowControl w:val="0"/>
      <w:spacing w:before="360" w:after="180"/>
    </w:pPr>
    <w:rPr>
      <w:rFonts w:ascii="Arial" w:hAnsi="Arial" w:eastAsia="Times New Roman"/>
      <w:b/>
      <w:sz w:val="32"/>
      <w:lang w:eastAsia="en-US"/>
    </w:rPr>
  </w:style>
  <w:style w:type="paragraph" w:customStyle="1" w:styleId="343">
    <w:name w:val="xl74"/>
    <w:basedOn w:val="1"/>
    <w:uiPriority w:val="0"/>
    <w:pPr>
      <w:pBdr>
        <w:top w:val="single" w:color="auto" w:sz="4" w:space="0"/>
        <w:left w:val="single" w:color="auto" w:sz="4" w:space="0"/>
        <w:bottom w:val="single" w:color="auto" w:sz="4" w:space="0"/>
        <w:right w:val="single" w:color="auto" w:sz="4" w:space="0"/>
      </w:pBdr>
      <w:shd w:val="clear" w:color="000000" w:fill="FF9900"/>
      <w:spacing w:before="100" w:beforeAutospacing="1" w:after="100" w:afterAutospacing="1"/>
      <w:jc w:val="center"/>
      <w:textAlignment w:val="center"/>
    </w:pPr>
    <w:rPr>
      <w:rFonts w:ascii="宋体" w:hAnsi="宋体" w:cs="宋体"/>
      <w:sz w:val="18"/>
      <w:szCs w:val="18"/>
    </w:rPr>
  </w:style>
  <w:style w:type="paragraph" w:customStyle="1" w:styleId="344">
    <w:name w:val="正文 New New New New New New New New"/>
    <w:qFormat/>
    <w:uiPriority w:val="0"/>
    <w:pPr>
      <w:widowControl w:val="0"/>
      <w:jc w:val="both"/>
    </w:pPr>
    <w:rPr>
      <w:kern w:val="2"/>
      <w:sz w:val="21"/>
      <w:szCs w:val="22"/>
      <w:lang w:val="en-US" w:eastAsia="zh-CN" w:bidi="ar-SA"/>
    </w:rPr>
  </w:style>
  <w:style w:type="paragraph" w:customStyle="1" w:styleId="345">
    <w:name w:val="font0"/>
    <w:basedOn w:val="1"/>
    <w:uiPriority w:val="0"/>
    <w:pPr>
      <w:spacing w:before="100" w:beforeAutospacing="1" w:after="100" w:afterAutospacing="1" w:line="351" w:lineRule="atLeast"/>
      <w:ind w:firstLine="419"/>
      <w:textAlignment w:val="baseline"/>
    </w:pPr>
    <w:rPr>
      <w:rFonts w:ascii="Arial" w:hAnsi="Arial" w:cs="Arial"/>
      <w:color w:val="000000"/>
    </w:rPr>
  </w:style>
  <w:style w:type="paragraph" w:customStyle="1" w:styleId="346">
    <w:name w:val="样式1"/>
    <w:basedOn w:val="1"/>
    <w:uiPriority w:val="0"/>
    <w:pPr>
      <w:spacing w:line="360" w:lineRule="auto"/>
      <w:ind w:left="142" w:firstLine="640" w:firstLineChars="200"/>
    </w:pPr>
    <w:rPr>
      <w:sz w:val="24"/>
    </w:rPr>
  </w:style>
  <w:style w:type="paragraph" w:customStyle="1" w:styleId="347">
    <w:name w:val="Table Title"/>
    <w:basedOn w:val="1"/>
    <w:uiPriority w:val="0"/>
    <w:pPr>
      <w:spacing w:before="60" w:after="60"/>
      <w:jc w:val="center"/>
    </w:pPr>
    <w:rPr>
      <w:rFonts w:ascii="Arial Narrow" w:hAnsi="Arial Narrow"/>
      <w:b/>
      <w:sz w:val="24"/>
      <w:lang w:val="en-GB" w:eastAsia="en-US"/>
      <w14:shadow w14:blurRad="50800" w14:dist="38100" w14:dir="2700000" w14:sx="100000" w14:sy="100000" w14:kx="0" w14:ky="0" w14:algn="tl">
        <w14:srgbClr w14:val="000000">
          <w14:alpha w14:val="60000"/>
        </w14:srgbClr>
      </w14:shadow>
    </w:rPr>
  </w:style>
  <w:style w:type="paragraph" w:customStyle="1" w:styleId="348">
    <w:name w:val="Table text"/>
    <w:basedOn w:val="1"/>
    <w:uiPriority w:val="0"/>
    <w:pPr>
      <w:spacing w:before="60" w:after="60"/>
    </w:pPr>
    <w:rPr>
      <w:rFonts w:ascii="Arial" w:hAnsi="Arial"/>
      <w:lang w:val="en-GB"/>
    </w:rPr>
  </w:style>
  <w:style w:type="paragraph" w:customStyle="1" w:styleId="349">
    <w:name w:val="DHVadresregel"/>
    <w:basedOn w:val="1"/>
    <w:uiPriority w:val="0"/>
    <w:pPr>
      <w:spacing w:line="261" w:lineRule="exact"/>
      <w:jc w:val="both"/>
    </w:pPr>
    <w:rPr>
      <w:rFonts w:ascii="Univers" w:hAnsi="Univers" w:eastAsia="Times New Roman"/>
      <w:sz w:val="22"/>
      <w:lang w:val="en-GB" w:eastAsia="nl-NL"/>
    </w:rPr>
  </w:style>
  <w:style w:type="paragraph" w:customStyle="1" w:styleId="350">
    <w:name w:val="xl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sz w:val="18"/>
      <w:szCs w:val="18"/>
    </w:rPr>
  </w:style>
  <w:style w:type="paragraph" w:customStyle="1" w:styleId="351">
    <w:name w:val="Indent 1 (•)"/>
    <w:basedOn w:val="1"/>
    <w:uiPriority w:val="0"/>
    <w:pPr>
      <w:tabs>
        <w:tab w:val="left" w:pos="643"/>
        <w:tab w:val="left" w:pos="720"/>
      </w:tabs>
    </w:pPr>
    <w:rPr>
      <w:rFonts w:eastAsia="Times New Roman"/>
      <w:sz w:val="22"/>
      <w:szCs w:val="24"/>
      <w:lang w:eastAsia="en-US"/>
    </w:rPr>
  </w:style>
  <w:style w:type="paragraph" w:customStyle="1" w:styleId="352">
    <w:name w:val="文章总标题"/>
    <w:basedOn w:val="1"/>
    <w:uiPriority w:val="0"/>
    <w:pPr>
      <w:spacing w:before="566" w:after="544" w:line="566" w:lineRule="atLeast"/>
      <w:jc w:val="center"/>
      <w:textAlignment w:val="baseline"/>
    </w:pPr>
    <w:rPr>
      <w:rFonts w:ascii="Arial" w:eastAsia="黑体"/>
      <w:color w:val="000000"/>
      <w:sz w:val="54"/>
    </w:rPr>
  </w:style>
  <w:style w:type="paragraph" w:customStyle="1" w:styleId="353">
    <w:name w:val="Notes to the sub-sub-sections"/>
    <w:basedOn w:val="1"/>
    <w:uiPriority w:val="0"/>
    <w:pPr>
      <w:spacing w:before="60" w:after="60"/>
      <w:ind w:left="1987"/>
    </w:pPr>
    <w:rPr>
      <w:i/>
      <w:iCs/>
      <w:sz w:val="24"/>
      <w:szCs w:val="24"/>
      <w:lang w:eastAsia="en-US"/>
    </w:rPr>
  </w:style>
  <w:style w:type="paragraph" w:customStyle="1" w:styleId="354">
    <w:name w:val="文档结构图1"/>
    <w:basedOn w:val="1"/>
    <w:uiPriority w:val="0"/>
    <w:pPr>
      <w:widowControl w:val="0"/>
      <w:shd w:val="clear" w:color="auto" w:fill="000080"/>
      <w:jc w:val="both"/>
    </w:pPr>
    <w:rPr>
      <w:szCs w:val="24"/>
      <w:shd w:val="clear" w:color="auto" w:fill="000080"/>
    </w:rPr>
  </w:style>
  <w:style w:type="paragraph" w:customStyle="1" w:styleId="355">
    <w:name w:val="Char Char Char Char Char Char Char Char Char Char"/>
    <w:basedOn w:val="1"/>
    <w:uiPriority w:val="0"/>
    <w:pPr>
      <w:widowControl w:val="0"/>
      <w:tabs>
        <w:tab w:val="left" w:pos="360"/>
      </w:tabs>
      <w:ind w:left="360" w:hanging="360" w:hangingChars="200"/>
      <w:jc w:val="both"/>
    </w:pPr>
    <w:rPr>
      <w:kern w:val="2"/>
      <w:sz w:val="24"/>
      <w:szCs w:val="24"/>
    </w:rPr>
  </w:style>
  <w:style w:type="paragraph" w:customStyle="1" w:styleId="356">
    <w:name w:val="Char Char7 Char"/>
    <w:basedOn w:val="1"/>
    <w:uiPriority w:val="0"/>
    <w:pPr>
      <w:widowControl w:val="0"/>
      <w:ind w:firstLine="195"/>
      <w:jc w:val="center"/>
    </w:pPr>
    <w:rPr>
      <w:kern w:val="2"/>
      <w:sz w:val="21"/>
    </w:rPr>
  </w:style>
  <w:style w:type="paragraph" w:customStyle="1" w:styleId="357">
    <w:name w:val="样式 验证 + 两端对齐"/>
    <w:basedOn w:val="1"/>
    <w:uiPriority w:val="0"/>
    <w:pPr>
      <w:adjustRightInd w:val="0"/>
      <w:spacing w:line="351" w:lineRule="atLeast"/>
      <w:ind w:firstLine="419"/>
      <w:jc w:val="both"/>
      <w:textAlignment w:val="baseline"/>
    </w:pPr>
    <w:rPr>
      <w:rFonts w:ascii="宋体" w:hAnsi="宋体" w:cs="宋体"/>
      <w:color w:val="000000"/>
      <w:sz w:val="21"/>
    </w:rPr>
  </w:style>
  <w:style w:type="paragraph" w:customStyle="1" w:styleId="358">
    <w:name w:val="WPS Plain"/>
    <w:uiPriority w:val="0"/>
    <w:rPr>
      <w:lang w:val="en-US" w:eastAsia="zh-CN" w:bidi="ar-SA"/>
    </w:rPr>
  </w:style>
  <w:style w:type="paragraph" w:customStyle="1" w:styleId="359">
    <w:name w:val="headingX"/>
    <w:basedOn w:val="1"/>
    <w:next w:val="1"/>
    <w:uiPriority w:val="0"/>
    <w:pPr>
      <w:spacing w:before="60" w:after="60"/>
    </w:pPr>
    <w:rPr>
      <w:rFonts w:eastAsia="Times New Roman"/>
      <w:b/>
      <w:sz w:val="22"/>
      <w:lang w:val="en-GB" w:eastAsia="en-US"/>
    </w:rPr>
  </w:style>
  <w:style w:type="paragraph" w:customStyle="1" w:styleId="360">
    <w:name w:val="Tekstblok 1"/>
    <w:basedOn w:val="274"/>
    <w:uiPriority w:val="0"/>
    <w:pPr>
      <w:ind w:left="1080"/>
    </w:pPr>
  </w:style>
  <w:style w:type="paragraph" w:customStyle="1" w:styleId="361">
    <w:name w:val="xl76"/>
    <w:basedOn w:val="1"/>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textAlignment w:val="center"/>
    </w:pPr>
    <w:rPr>
      <w:rFonts w:ascii="宋体" w:hAnsi="宋体" w:cs="宋体"/>
      <w:sz w:val="18"/>
      <w:szCs w:val="18"/>
    </w:rPr>
  </w:style>
  <w:style w:type="paragraph" w:customStyle="1" w:styleId="362">
    <w:name w:val="小节标题"/>
    <w:basedOn w:val="1"/>
    <w:next w:val="1"/>
    <w:uiPriority w:val="0"/>
    <w:pPr>
      <w:widowControl w:val="0"/>
      <w:spacing w:before="175" w:after="102" w:line="351" w:lineRule="atLeast"/>
      <w:jc w:val="both"/>
      <w:textAlignment w:val="baseline"/>
    </w:pPr>
    <w:rPr>
      <w:rFonts w:eastAsia="黑体"/>
      <w:color w:val="000000"/>
      <w:kern w:val="2"/>
      <w:sz w:val="21"/>
      <w:szCs w:val="24"/>
    </w:rPr>
  </w:style>
  <w:style w:type="paragraph" w:customStyle="1" w:styleId="363">
    <w:name w:val="List Paragraph"/>
    <w:basedOn w:val="1"/>
    <w:qFormat/>
    <w:uiPriority w:val="0"/>
    <w:pPr>
      <w:widowControl w:val="0"/>
      <w:ind w:firstLine="420" w:firstLineChars="200"/>
      <w:jc w:val="both"/>
    </w:pPr>
    <w:rPr>
      <w:rFonts w:ascii="Calibri" w:hAnsi="Calibri"/>
      <w:kern w:val="2"/>
      <w:sz w:val="21"/>
      <w:szCs w:val="22"/>
    </w:rPr>
  </w:style>
  <w:style w:type="paragraph" w:customStyle="1" w:styleId="364">
    <w:name w:val="_Style 18"/>
    <w:basedOn w:val="1"/>
    <w:next w:val="1"/>
    <w:uiPriority w:val="0"/>
    <w:pPr>
      <w:ind w:left="800"/>
    </w:pPr>
    <w:rPr>
      <w:lang w:eastAsia="en-US"/>
    </w:rPr>
  </w:style>
  <w:style w:type="paragraph" w:customStyle="1" w:styleId="365">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18"/>
      <w:szCs w:val="18"/>
    </w:rPr>
  </w:style>
  <w:style w:type="paragraph" w:customStyle="1" w:styleId="366">
    <w:name w:val="Char Char Char Char"/>
    <w:basedOn w:val="1"/>
    <w:uiPriority w:val="0"/>
    <w:pPr>
      <w:spacing w:line="400" w:lineRule="exact"/>
      <w:jc w:val="center"/>
    </w:pPr>
    <w:rPr>
      <w:kern w:val="2"/>
      <w:sz w:val="21"/>
      <w:szCs w:val="24"/>
    </w:rPr>
  </w:style>
  <w:style w:type="paragraph" w:customStyle="1" w:styleId="367">
    <w:name w:val="font11"/>
    <w:basedOn w:val="1"/>
    <w:uiPriority w:val="0"/>
    <w:pPr>
      <w:spacing w:before="100" w:beforeAutospacing="1" w:after="100" w:afterAutospacing="1"/>
    </w:pPr>
    <w:rPr>
      <w:rFonts w:ascii="Courier New" w:hAnsi="Courier New" w:cs="Courier New"/>
      <w:sz w:val="18"/>
      <w:szCs w:val="18"/>
    </w:rPr>
  </w:style>
  <w:style w:type="paragraph" w:customStyle="1" w:styleId="368">
    <w:name w:val="章标题"/>
    <w:basedOn w:val="1"/>
    <w:uiPriority w:val="0"/>
    <w:pPr>
      <w:spacing w:before="158" w:after="153" w:line="323" w:lineRule="atLeast"/>
      <w:jc w:val="center"/>
      <w:textAlignment w:val="baseline"/>
    </w:pPr>
    <w:rPr>
      <w:rFonts w:ascii="Arial" w:eastAsia="黑体"/>
      <w:color w:val="000000"/>
      <w:sz w:val="31"/>
    </w:rPr>
  </w:style>
  <w:style w:type="paragraph" w:customStyle="1" w:styleId="369">
    <w:name w:val="正文（表格）"/>
    <w:basedOn w:val="1"/>
    <w:qFormat/>
    <w:uiPriority w:val="0"/>
    <w:pPr>
      <w:widowControl w:val="0"/>
      <w:ind w:left="100" w:leftChars="100" w:right="240" w:rightChars="100"/>
    </w:pPr>
    <w:rPr>
      <w:kern w:val="2"/>
      <w:sz w:val="21"/>
      <w:szCs w:val="24"/>
    </w:rPr>
  </w:style>
  <w:style w:type="paragraph" w:customStyle="1" w:styleId="370">
    <w:name w:val="_Style 12"/>
    <w:basedOn w:val="1"/>
    <w:qFormat/>
    <w:uiPriority w:val="0"/>
    <w:pPr>
      <w:spacing w:line="351" w:lineRule="atLeast"/>
      <w:ind w:firstLine="420" w:firstLineChars="200"/>
      <w:jc w:val="both"/>
      <w:textAlignment w:val="baseline"/>
    </w:pPr>
    <w:rPr>
      <w:color w:val="000000"/>
      <w:sz w:val="21"/>
    </w:rPr>
  </w:style>
  <w:style w:type="paragraph" w:customStyle="1" w:styleId="371">
    <w:name w:val="p0"/>
    <w:basedOn w:val="1"/>
    <w:uiPriority w:val="0"/>
    <w:pPr>
      <w:jc w:val="both"/>
    </w:pPr>
    <w:rPr>
      <w:sz w:val="21"/>
      <w:szCs w:val="21"/>
    </w:rPr>
  </w:style>
  <w:style w:type="paragraph" w:customStyle="1" w:styleId="372">
    <w:name w:val="table text"/>
    <w:basedOn w:val="1"/>
    <w:uiPriority w:val="0"/>
    <w:pPr>
      <w:spacing w:before="60" w:after="60"/>
      <w:jc w:val="center"/>
    </w:pPr>
    <w:rPr>
      <w:rFonts w:ascii="Arial Narrow" w:hAnsi="Arial Narrow"/>
      <w:sz w:val="24"/>
      <w:lang w:val="en-GB" w:eastAsia="en-US"/>
    </w:rPr>
  </w:style>
  <w:style w:type="paragraph" w:customStyle="1" w:styleId="373">
    <w:name w:val="节"/>
    <w:basedOn w:val="1"/>
    <w:uiPriority w:val="0"/>
    <w:pPr>
      <w:widowControl w:val="0"/>
      <w:tabs>
        <w:tab w:val="left" w:pos="1440"/>
      </w:tabs>
      <w:snapToGrid w:val="0"/>
      <w:spacing w:line="300" w:lineRule="auto"/>
      <w:jc w:val="center"/>
      <w:outlineLvl w:val="1"/>
    </w:pPr>
    <w:rPr>
      <w:rFonts w:ascii="宋体" w:hAnsi="宋体"/>
      <w:b/>
      <w:kern w:val="2"/>
      <w:sz w:val="32"/>
    </w:rPr>
  </w:style>
  <w:style w:type="paragraph" w:customStyle="1" w:styleId="374">
    <w:name w:val="Bullit 1"/>
    <w:basedOn w:val="360"/>
    <w:uiPriority w:val="0"/>
    <w:pPr>
      <w:tabs>
        <w:tab w:val="left" w:pos="720"/>
        <w:tab w:val="left" w:pos="1429"/>
      </w:tabs>
      <w:ind w:left="1429" w:hanging="360"/>
    </w:pPr>
  </w:style>
  <w:style w:type="paragraph" w:customStyle="1" w:styleId="375">
    <w:name w:val="xl27"/>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52" w:lineRule="auto"/>
      <w:jc w:val="center"/>
      <w:textAlignment w:val="top"/>
    </w:pPr>
    <w:rPr>
      <w:rFonts w:ascii="Arial" w:hAnsi="Arial" w:eastAsia="Arial Unicode MS" w:cs="Arial"/>
      <w:color w:val="003300"/>
      <w:sz w:val="24"/>
      <w:szCs w:val="22"/>
      <w:lang w:eastAsia="en-US"/>
    </w:rPr>
  </w:style>
  <w:style w:type="paragraph" w:styleId="376">
    <w:name w:val="List Paragraph"/>
    <w:basedOn w:val="1"/>
    <w:qFormat/>
    <w:uiPriority w:val="34"/>
    <w:pPr>
      <w:widowControl w:val="0"/>
      <w:ind w:firstLine="420" w:firstLineChars="200"/>
      <w:jc w:val="both"/>
    </w:pPr>
    <w:rPr>
      <w:rFonts w:ascii="Calibri" w:hAnsi="Calibri" w:eastAsia="宋体" w:cs="Times New Roman"/>
      <w:kern w:val="2"/>
      <w:sz w:val="21"/>
      <w:szCs w:val="22"/>
    </w:rPr>
  </w:style>
  <w:style w:type="paragraph" w:customStyle="1" w:styleId="377">
    <w:name w:val="Heading Left New New"/>
    <w:basedOn w:val="344"/>
    <w:qFormat/>
    <w:uiPriority w:val="0"/>
    <w:pPr>
      <w:widowControl/>
      <w:tabs>
        <w:tab w:val="center" w:pos="4820"/>
        <w:tab w:val="right" w:pos="9639"/>
      </w:tabs>
      <w:spacing w:before="120" w:after="120"/>
      <w:jc w:val="left"/>
    </w:pPr>
    <w:rPr>
      <w:rFonts w:ascii="Arial" w:hAnsi="Arial"/>
      <w:b/>
      <w:caps/>
      <w:kern w:val="0"/>
      <w:sz w:val="24"/>
      <w:lang w:val="en-GB" w:eastAsia="en-US"/>
    </w:rPr>
  </w:style>
  <w:style w:type="paragraph" w:customStyle="1" w:styleId="378">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379">
    <w:name w:val="默认段落字体 Para Char Char Char Char Char Char Char Char Char"/>
    <w:basedOn w:val="1"/>
    <w:uiPriority w:val="0"/>
    <w:pPr>
      <w:widowControl w:val="0"/>
      <w:jc w:val="both"/>
    </w:pPr>
    <w:rPr>
      <w:rFonts w:ascii="Tahoma" w:hAnsi="Tahoma"/>
      <w:kern w:val="2"/>
      <w:sz w:val="24"/>
    </w:rPr>
  </w:style>
  <w:style w:type="paragraph" w:customStyle="1" w:styleId="38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18"/>
      <w:szCs w:val="18"/>
    </w:rPr>
  </w:style>
  <w:style w:type="paragraph" w:customStyle="1" w:styleId="381">
    <w:name w:val="Char Char Char Char1 Char Char Char Char Char"/>
    <w:basedOn w:val="1"/>
    <w:uiPriority w:val="0"/>
    <w:pPr>
      <w:widowControl w:val="0"/>
      <w:ind w:firstLine="360" w:firstLineChars="150"/>
      <w:jc w:val="both"/>
    </w:pPr>
    <w:rPr>
      <w:rFonts w:ascii="Tahoma" w:hAnsi="Tahoma"/>
      <w:kern w:val="2"/>
      <w:sz w:val="24"/>
    </w:rPr>
  </w:style>
  <w:style w:type="paragraph" w:customStyle="1" w:styleId="382">
    <w:name w:val="正文文本缩进1"/>
    <w:basedOn w:val="1"/>
    <w:uiPriority w:val="0"/>
    <w:pPr>
      <w:widowControl w:val="0"/>
      <w:ind w:firstLine="359" w:firstLineChars="171"/>
      <w:jc w:val="both"/>
    </w:pPr>
    <w:rPr>
      <w:szCs w:val="24"/>
    </w:rPr>
  </w:style>
  <w:style w:type="paragraph" w:customStyle="1" w:styleId="383">
    <w:name w:val="Char Char Char1 Char"/>
    <w:basedOn w:val="1"/>
    <w:uiPriority w:val="0"/>
    <w:pPr>
      <w:widowControl w:val="0"/>
      <w:adjustRightInd w:val="0"/>
      <w:spacing w:line="312" w:lineRule="atLeast"/>
      <w:jc w:val="both"/>
    </w:pPr>
    <w:rPr>
      <w:b/>
      <w:bCs/>
      <w:sz w:val="36"/>
      <w:szCs w:val="32"/>
    </w:rPr>
  </w:style>
  <w:style w:type="paragraph" w:customStyle="1" w:styleId="384">
    <w:name w:val="reader-word-layer"/>
    <w:basedOn w:val="1"/>
    <w:uiPriority w:val="0"/>
    <w:pPr>
      <w:spacing w:before="100" w:beforeAutospacing="1" w:after="100" w:afterAutospacing="1"/>
    </w:pPr>
    <w:rPr>
      <w:rFonts w:ascii="宋体" w:hAnsi="宋体" w:cs="宋体"/>
      <w:sz w:val="24"/>
      <w:szCs w:val="24"/>
    </w:rPr>
  </w:style>
  <w:style w:type="paragraph" w:customStyle="1" w:styleId="385">
    <w:name w:val="Heading Left"/>
    <w:basedOn w:val="1"/>
    <w:qFormat/>
    <w:uiPriority w:val="0"/>
    <w:pPr>
      <w:tabs>
        <w:tab w:val="center" w:pos="4820"/>
        <w:tab w:val="right" w:pos="9639"/>
      </w:tabs>
      <w:spacing w:before="120" w:after="120"/>
    </w:pPr>
    <w:rPr>
      <w:rFonts w:ascii="Arial" w:hAnsi="Arial"/>
      <w:b/>
      <w:caps/>
      <w:sz w:val="24"/>
      <w:lang w:val="en-GB" w:eastAsia="en-US"/>
    </w:rPr>
  </w:style>
  <w:style w:type="paragraph" w:customStyle="1" w:styleId="386">
    <w:name w:val="Titel2"/>
    <w:basedOn w:val="1"/>
    <w:uiPriority w:val="0"/>
    <w:pPr>
      <w:jc w:val="center"/>
    </w:pPr>
    <w:rPr>
      <w:rFonts w:ascii="Arial" w:hAnsi="Arial" w:cs="Arial"/>
      <w:snapToGrid w:val="0"/>
      <w:sz w:val="44"/>
      <w:szCs w:val="22"/>
      <w:lang w:val="en-GB" w:eastAsia="de-DE"/>
    </w:rPr>
  </w:style>
  <w:style w:type="paragraph" w:customStyle="1" w:styleId="387">
    <w:name w:val="URS"/>
    <w:basedOn w:val="24"/>
    <w:qFormat/>
    <w:uiPriority w:val="0"/>
    <w:pPr>
      <w:spacing w:after="0" w:afterLines="0" w:line="400" w:lineRule="exact"/>
      <w:ind w:left="419" w:leftChars="194" w:hanging="12" w:hangingChars="5"/>
      <w:textAlignment w:val="baseline"/>
    </w:pPr>
    <w:rPr>
      <w:rFonts w:ascii="楷体_GB2312" w:hAnsi="楷体_GB2312" w:eastAsia="楷体_GB2312"/>
      <w:szCs w:val="24"/>
    </w:rPr>
  </w:style>
  <w:style w:type="paragraph" w:customStyle="1" w:styleId="388">
    <w:name w:val="样式 正文文本 + 小四 加粗"/>
    <w:basedOn w:val="24"/>
    <w:qFormat/>
    <w:uiPriority w:val="0"/>
    <w:pPr>
      <w:tabs>
        <w:tab w:val="right" w:pos="9639"/>
      </w:tabs>
    </w:pPr>
    <w:rPr>
      <w:rFonts w:ascii="Times New Roman" w:hAnsi="Times New Roman"/>
      <w:b/>
      <w:sz w:val="24"/>
      <w:szCs w:val="24"/>
    </w:rPr>
  </w:style>
  <w:style w:type="paragraph" w:customStyle="1" w:styleId="389">
    <w:name w:val="样式 标题 1 + (符号) 宋体 小四"/>
    <w:basedOn w:val="2"/>
    <w:qFormat/>
    <w:uiPriority w:val="0"/>
    <w:pPr>
      <w:spacing w:before="0" w:after="120" w:line="24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25</Pages>
  <Words>16993</Words>
  <Characters>19049</Characters>
  <Lines>79</Lines>
  <Paragraphs>22</Paragraphs>
  <TotalTime>6</TotalTime>
  <ScaleCrop>false</ScaleCrop>
  <LinksUpToDate>false</LinksUpToDate>
  <CharactersWithSpaces>19342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2020-08-11T06:13:00Z</dcterms:created>
  <dc:creator>微软（中国）有限公司</dc:creator>
  <cp:lastModifiedBy>崔催摧璀慛</cp:lastModifiedBy>
  <cp:lastPrinted>2018-03-28T07:25:00Z</cp:lastPrinted>
  <dcterms:modified xsi:type="dcterms:W3CDTF">2024-02-29T08:06:38Z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BF2EDA12B9CA42B9B8C1AB43E67D4AD8_13</vt:lpwstr>
  </property>
</Properties>
</file>